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54" w:rsidRPr="00B30011" w:rsidRDefault="00B30011" w:rsidP="00B30011">
      <w:pPr>
        <w:jc w:val="center"/>
        <w:rPr>
          <w:rFonts w:ascii="Arial" w:hAnsi="Arial" w:cs="Arial"/>
        </w:rPr>
      </w:pPr>
      <w:r w:rsidRPr="00B30011">
        <w:rPr>
          <w:rFonts w:ascii="Arial" w:hAnsi="Arial" w:cs="Arial"/>
          <w:noProof/>
        </w:rPr>
        <w:drawing>
          <wp:inline distT="0" distB="0" distL="0" distR="0" wp14:anchorId="04834E28" wp14:editId="3C5A0B87">
            <wp:extent cx="2740345" cy="30427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ucky-State-Seal.png"/>
                    <pic:cNvPicPr/>
                  </pic:nvPicPr>
                  <pic:blipFill>
                    <a:blip r:embed="rId7">
                      <a:extLst>
                        <a:ext uri="{28A0092B-C50C-407E-A947-70E740481C1C}">
                          <a14:useLocalDpi xmlns:a14="http://schemas.microsoft.com/office/drawing/2010/main" val="0"/>
                        </a:ext>
                      </a:extLst>
                    </a:blip>
                    <a:stretch>
                      <a:fillRect/>
                    </a:stretch>
                  </pic:blipFill>
                  <pic:spPr>
                    <a:xfrm>
                      <a:off x="0" y="0"/>
                      <a:ext cx="2740345" cy="3042792"/>
                    </a:xfrm>
                    <a:prstGeom prst="rect">
                      <a:avLst/>
                    </a:prstGeom>
                  </pic:spPr>
                </pic:pic>
              </a:graphicData>
            </a:graphic>
          </wp:inline>
        </w:drawing>
      </w:r>
    </w:p>
    <w:p w:rsidR="00B30011" w:rsidRPr="00B30011" w:rsidRDefault="00B30011">
      <w:pPr>
        <w:rPr>
          <w:rFonts w:ascii="Arial" w:hAnsi="Arial" w:cs="Arial"/>
        </w:rPr>
      </w:pPr>
    </w:p>
    <w:p w:rsidR="003F277F" w:rsidRPr="00522700" w:rsidRDefault="00377898" w:rsidP="00B30011">
      <w:pPr>
        <w:contextualSpacing/>
        <w:jc w:val="center"/>
        <w:rPr>
          <w:rFonts w:asciiTheme="majorHAnsi" w:hAnsiTheme="majorHAnsi" w:cs="Arial"/>
          <w:b/>
          <w:color w:val="2F5496" w:themeColor="accent5" w:themeShade="BF"/>
          <w:sz w:val="120"/>
          <w:szCs w:val="120"/>
        </w:rPr>
      </w:pPr>
      <w:r>
        <w:rPr>
          <w:rFonts w:asciiTheme="majorHAnsi" w:hAnsiTheme="majorHAnsi" w:cs="Arial"/>
          <w:b/>
          <w:color w:val="2F5496" w:themeColor="accent5" w:themeShade="BF"/>
          <w:sz w:val="120"/>
          <w:szCs w:val="120"/>
        </w:rPr>
        <w:t>2019 Kentucky</w:t>
      </w:r>
    </w:p>
    <w:p w:rsidR="00B30011" w:rsidRPr="00522700" w:rsidRDefault="00B30011" w:rsidP="00B30011">
      <w:pPr>
        <w:contextualSpacing/>
        <w:jc w:val="center"/>
        <w:rPr>
          <w:rFonts w:asciiTheme="majorHAnsi" w:hAnsiTheme="majorHAnsi" w:cs="Arial"/>
          <w:b/>
          <w:color w:val="2F5496" w:themeColor="accent5" w:themeShade="BF"/>
          <w:sz w:val="120"/>
          <w:szCs w:val="120"/>
        </w:rPr>
      </w:pPr>
      <w:r w:rsidRPr="00522700">
        <w:rPr>
          <w:rFonts w:asciiTheme="majorHAnsi" w:hAnsiTheme="majorHAnsi" w:cs="Arial"/>
          <w:b/>
          <w:color w:val="2F5496" w:themeColor="accent5" w:themeShade="BF"/>
          <w:sz w:val="120"/>
          <w:szCs w:val="120"/>
        </w:rPr>
        <w:t xml:space="preserve">Tax </w:t>
      </w:r>
      <w:r w:rsidR="003F277F" w:rsidRPr="00522700">
        <w:rPr>
          <w:rFonts w:asciiTheme="majorHAnsi" w:hAnsiTheme="majorHAnsi" w:cs="Arial"/>
          <w:b/>
          <w:color w:val="2F5496" w:themeColor="accent5" w:themeShade="BF"/>
          <w:sz w:val="120"/>
          <w:szCs w:val="120"/>
        </w:rPr>
        <w:t>Changes</w:t>
      </w:r>
    </w:p>
    <w:p w:rsidR="002D6D14" w:rsidRDefault="002D6D14" w:rsidP="002D6D14">
      <w:pPr>
        <w:contextualSpacing/>
        <w:jc w:val="center"/>
        <w:rPr>
          <w:rFonts w:asciiTheme="majorHAnsi" w:hAnsiTheme="majorHAnsi" w:cs="Arial"/>
          <w:b/>
          <w:color w:val="1F4E79" w:themeColor="accent1" w:themeShade="80"/>
          <w:sz w:val="24"/>
          <w:szCs w:val="24"/>
        </w:rPr>
      </w:pPr>
    </w:p>
    <w:p w:rsidR="002D6D14" w:rsidRDefault="002D6D14" w:rsidP="002D6D14">
      <w:pPr>
        <w:contextualSpacing/>
        <w:jc w:val="center"/>
        <w:rPr>
          <w:rFonts w:asciiTheme="majorHAnsi" w:hAnsiTheme="majorHAnsi" w:cs="Arial"/>
          <w:b/>
          <w:color w:val="1F4E79" w:themeColor="accent1" w:themeShade="80"/>
          <w:sz w:val="24"/>
          <w:szCs w:val="24"/>
        </w:rPr>
      </w:pPr>
    </w:p>
    <w:p w:rsidR="00522700" w:rsidRDefault="00522700" w:rsidP="002D6D14">
      <w:pPr>
        <w:contextualSpacing/>
        <w:jc w:val="center"/>
        <w:rPr>
          <w:rFonts w:asciiTheme="majorHAnsi" w:hAnsiTheme="majorHAnsi" w:cs="Arial"/>
          <w:b/>
          <w:color w:val="1F4E79" w:themeColor="accent1" w:themeShade="80"/>
          <w:sz w:val="24"/>
          <w:szCs w:val="24"/>
        </w:rPr>
      </w:pPr>
    </w:p>
    <w:p w:rsidR="00522700" w:rsidRDefault="00522700" w:rsidP="002D6D14">
      <w:pPr>
        <w:contextualSpacing/>
        <w:jc w:val="center"/>
        <w:rPr>
          <w:rFonts w:asciiTheme="majorHAnsi" w:hAnsiTheme="majorHAnsi" w:cs="Arial"/>
          <w:b/>
          <w:color w:val="1F4E79" w:themeColor="accent1" w:themeShade="80"/>
          <w:sz w:val="24"/>
          <w:szCs w:val="24"/>
        </w:rPr>
      </w:pPr>
    </w:p>
    <w:p w:rsidR="009713B2" w:rsidRDefault="009713B2" w:rsidP="002D6D14">
      <w:pPr>
        <w:contextualSpacing/>
        <w:jc w:val="center"/>
        <w:rPr>
          <w:rFonts w:asciiTheme="majorHAnsi" w:hAnsiTheme="majorHAnsi" w:cs="Arial"/>
          <w:b/>
          <w:color w:val="1F4E79" w:themeColor="accent1" w:themeShade="80"/>
          <w:sz w:val="24"/>
          <w:szCs w:val="24"/>
        </w:rPr>
      </w:pPr>
    </w:p>
    <w:p w:rsidR="009713B2" w:rsidRDefault="009713B2" w:rsidP="002D6D14">
      <w:pPr>
        <w:contextualSpacing/>
        <w:jc w:val="center"/>
        <w:rPr>
          <w:rFonts w:asciiTheme="majorHAnsi" w:hAnsiTheme="majorHAnsi" w:cs="Arial"/>
          <w:b/>
          <w:color w:val="1F4E79" w:themeColor="accent1" w:themeShade="80"/>
          <w:sz w:val="24"/>
          <w:szCs w:val="24"/>
        </w:rPr>
      </w:pPr>
    </w:p>
    <w:p w:rsidR="009713B2" w:rsidRDefault="009713B2" w:rsidP="002D6D14">
      <w:pPr>
        <w:contextualSpacing/>
        <w:jc w:val="center"/>
        <w:rPr>
          <w:rFonts w:asciiTheme="majorHAnsi" w:hAnsiTheme="majorHAnsi" w:cs="Arial"/>
          <w:b/>
          <w:color w:val="1F4E79" w:themeColor="accent1" w:themeShade="80"/>
          <w:sz w:val="24"/>
          <w:szCs w:val="24"/>
        </w:rPr>
      </w:pPr>
    </w:p>
    <w:p w:rsidR="002D6D14" w:rsidRDefault="002D6D14" w:rsidP="002D6D14">
      <w:pPr>
        <w:contextualSpacing/>
        <w:jc w:val="center"/>
        <w:rPr>
          <w:rFonts w:asciiTheme="majorHAnsi" w:hAnsiTheme="majorHAnsi" w:cs="Arial"/>
          <w:b/>
          <w:color w:val="1F4E79" w:themeColor="accent1" w:themeShade="80"/>
          <w:sz w:val="24"/>
          <w:szCs w:val="24"/>
        </w:rPr>
      </w:pPr>
    </w:p>
    <w:p w:rsidR="002D6D14" w:rsidRPr="00BF40A9" w:rsidRDefault="002D6D14" w:rsidP="002D6D14">
      <w:pPr>
        <w:contextualSpacing/>
        <w:jc w:val="center"/>
        <w:rPr>
          <w:rFonts w:asciiTheme="majorHAnsi" w:hAnsiTheme="majorHAnsi" w:cs="Arial"/>
          <w:b/>
          <w:color w:val="1F4E79" w:themeColor="accent1" w:themeShade="80"/>
          <w:sz w:val="24"/>
          <w:szCs w:val="24"/>
        </w:rPr>
      </w:pPr>
      <w:r w:rsidRPr="00BF40A9">
        <w:rPr>
          <w:rFonts w:asciiTheme="majorHAnsi" w:hAnsiTheme="majorHAnsi" w:cs="Arial"/>
          <w:b/>
          <w:color w:val="1F4E79" w:themeColor="accent1" w:themeShade="80"/>
          <w:sz w:val="24"/>
          <w:szCs w:val="24"/>
        </w:rPr>
        <w:t>Kentucky Department of Revenue</w:t>
      </w:r>
    </w:p>
    <w:p w:rsidR="002D6D14" w:rsidRPr="00BF40A9" w:rsidRDefault="002D6D14" w:rsidP="002D6D14">
      <w:pPr>
        <w:contextualSpacing/>
        <w:jc w:val="center"/>
        <w:rPr>
          <w:rFonts w:asciiTheme="majorHAnsi" w:hAnsiTheme="majorHAnsi" w:cs="Arial"/>
          <w:color w:val="1F4E79" w:themeColor="accent1" w:themeShade="80"/>
          <w:sz w:val="24"/>
          <w:szCs w:val="24"/>
        </w:rPr>
      </w:pPr>
      <w:r w:rsidRPr="00BF40A9">
        <w:rPr>
          <w:rFonts w:asciiTheme="majorHAnsi" w:hAnsiTheme="majorHAnsi" w:cs="Arial"/>
          <w:color w:val="1F4E79" w:themeColor="accent1" w:themeShade="80"/>
          <w:sz w:val="24"/>
          <w:szCs w:val="24"/>
        </w:rPr>
        <w:t>Office of Tax Policy &amp; Regulation</w:t>
      </w:r>
    </w:p>
    <w:p w:rsidR="002D6D14" w:rsidRPr="00BF40A9" w:rsidRDefault="002D6D14" w:rsidP="002D6D14">
      <w:pPr>
        <w:contextualSpacing/>
        <w:jc w:val="center"/>
        <w:rPr>
          <w:rFonts w:asciiTheme="majorHAnsi" w:hAnsiTheme="majorHAnsi" w:cs="Arial"/>
          <w:color w:val="1F4E79" w:themeColor="accent1" w:themeShade="80"/>
          <w:sz w:val="24"/>
          <w:szCs w:val="24"/>
        </w:rPr>
      </w:pPr>
      <w:r w:rsidRPr="00BF40A9">
        <w:rPr>
          <w:rFonts w:asciiTheme="majorHAnsi" w:hAnsiTheme="majorHAnsi" w:cs="Arial"/>
          <w:color w:val="1F4E79" w:themeColor="accent1" w:themeShade="80"/>
          <w:sz w:val="24"/>
          <w:szCs w:val="24"/>
        </w:rPr>
        <w:t>501 High Street, Station 1</w:t>
      </w:r>
    </w:p>
    <w:p w:rsidR="002D6D14" w:rsidRDefault="002D6D14" w:rsidP="002D6D14">
      <w:pPr>
        <w:contextualSpacing/>
        <w:jc w:val="center"/>
        <w:rPr>
          <w:rFonts w:asciiTheme="majorHAnsi" w:hAnsiTheme="majorHAnsi" w:cs="Arial"/>
          <w:color w:val="1F4E79" w:themeColor="accent1" w:themeShade="80"/>
          <w:sz w:val="24"/>
          <w:szCs w:val="24"/>
        </w:rPr>
      </w:pPr>
      <w:r w:rsidRPr="00BF40A9">
        <w:rPr>
          <w:rFonts w:asciiTheme="majorHAnsi" w:hAnsiTheme="majorHAnsi" w:cs="Arial"/>
          <w:color w:val="1F4E79" w:themeColor="accent1" w:themeShade="80"/>
          <w:sz w:val="24"/>
          <w:szCs w:val="24"/>
        </w:rPr>
        <w:t>Frankfort, KY 40601</w:t>
      </w:r>
    </w:p>
    <w:p w:rsidR="005176A3" w:rsidRDefault="005176A3" w:rsidP="002D6D14">
      <w:pPr>
        <w:contextualSpacing/>
        <w:jc w:val="center"/>
        <w:rPr>
          <w:rFonts w:asciiTheme="majorHAnsi" w:hAnsiTheme="majorHAnsi" w:cs="Arial"/>
          <w:color w:val="1F4E79" w:themeColor="accent1" w:themeShade="80"/>
          <w:sz w:val="24"/>
          <w:szCs w:val="24"/>
        </w:rPr>
      </w:pPr>
    </w:p>
    <w:p w:rsidR="005176A3" w:rsidRPr="005176A3" w:rsidRDefault="005176A3" w:rsidP="002D6D14">
      <w:pPr>
        <w:contextualSpacing/>
        <w:jc w:val="center"/>
        <w:rPr>
          <w:rFonts w:asciiTheme="majorHAnsi" w:hAnsiTheme="majorHAnsi" w:cs="Arial"/>
          <w:sz w:val="18"/>
          <w:szCs w:val="18"/>
        </w:rPr>
      </w:pPr>
      <w:r w:rsidRPr="005176A3">
        <w:rPr>
          <w:rFonts w:asciiTheme="majorHAnsi" w:hAnsiTheme="majorHAnsi" w:cs="Arial"/>
          <w:sz w:val="18"/>
          <w:szCs w:val="18"/>
        </w:rPr>
        <w:t>Prepared</w:t>
      </w:r>
      <w:r w:rsidR="00F36581">
        <w:rPr>
          <w:rFonts w:asciiTheme="majorHAnsi" w:hAnsiTheme="majorHAnsi" w:cs="Arial"/>
          <w:sz w:val="18"/>
          <w:szCs w:val="18"/>
        </w:rPr>
        <w:t>:</w:t>
      </w:r>
      <w:r w:rsidRPr="005176A3">
        <w:rPr>
          <w:rFonts w:asciiTheme="majorHAnsi" w:hAnsiTheme="majorHAnsi" w:cs="Arial"/>
          <w:sz w:val="18"/>
          <w:szCs w:val="18"/>
        </w:rPr>
        <w:t xml:space="preserve"> </w:t>
      </w:r>
      <w:r w:rsidR="00396209">
        <w:rPr>
          <w:rFonts w:asciiTheme="majorHAnsi" w:hAnsiTheme="majorHAnsi" w:cs="Arial"/>
          <w:sz w:val="18"/>
          <w:szCs w:val="18"/>
        </w:rPr>
        <w:t xml:space="preserve">April </w:t>
      </w:r>
      <w:r w:rsidR="004F25AD">
        <w:rPr>
          <w:rFonts w:asciiTheme="majorHAnsi" w:hAnsiTheme="majorHAnsi" w:cs="Arial"/>
          <w:sz w:val="18"/>
          <w:szCs w:val="18"/>
        </w:rPr>
        <w:t>15</w:t>
      </w:r>
      <w:bookmarkStart w:id="0" w:name="_GoBack"/>
      <w:bookmarkEnd w:id="0"/>
      <w:r w:rsidRPr="005176A3">
        <w:rPr>
          <w:rFonts w:asciiTheme="majorHAnsi" w:hAnsiTheme="majorHAnsi" w:cs="Arial"/>
          <w:sz w:val="18"/>
          <w:szCs w:val="18"/>
        </w:rPr>
        <w:t>, 2019</w:t>
      </w:r>
    </w:p>
    <w:sdt>
      <w:sdtPr>
        <w:rPr>
          <w:rFonts w:asciiTheme="minorHAnsi" w:eastAsiaTheme="minorEastAsia" w:hAnsiTheme="minorHAnsi" w:cstheme="minorBidi"/>
          <w:color w:val="auto"/>
          <w:sz w:val="22"/>
          <w:szCs w:val="22"/>
        </w:rPr>
        <w:id w:val="-1375469977"/>
        <w:docPartObj>
          <w:docPartGallery w:val="Table of Contents"/>
          <w:docPartUnique/>
        </w:docPartObj>
      </w:sdtPr>
      <w:sdtEndPr>
        <w:rPr>
          <w:b/>
          <w:bCs/>
          <w:noProof/>
        </w:rPr>
      </w:sdtEndPr>
      <w:sdtContent>
        <w:p w:rsidR="006E5925" w:rsidRDefault="006E5925">
          <w:pPr>
            <w:pStyle w:val="TOCHeading"/>
          </w:pPr>
          <w:r>
            <w:t>Table of Contents</w:t>
          </w:r>
        </w:p>
        <w:p w:rsidR="00856417" w:rsidRDefault="006E5925">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5285463" w:history="1">
            <w:r w:rsidR="00856417" w:rsidRPr="00466CD7">
              <w:rPr>
                <w:rStyle w:val="Hyperlink"/>
                <w:b/>
                <w:noProof/>
              </w:rPr>
              <w:t>Continued Tax Reform</w:t>
            </w:r>
            <w:r w:rsidR="00856417">
              <w:rPr>
                <w:noProof/>
                <w:webHidden/>
              </w:rPr>
              <w:tab/>
            </w:r>
            <w:r w:rsidR="00856417">
              <w:rPr>
                <w:noProof/>
                <w:webHidden/>
              </w:rPr>
              <w:fldChar w:fldCharType="begin"/>
            </w:r>
            <w:r w:rsidR="00856417">
              <w:rPr>
                <w:noProof/>
                <w:webHidden/>
              </w:rPr>
              <w:instrText xml:space="preserve"> PAGEREF _Toc5285463 \h </w:instrText>
            </w:r>
            <w:r w:rsidR="00856417">
              <w:rPr>
                <w:noProof/>
                <w:webHidden/>
              </w:rPr>
            </w:r>
            <w:r w:rsidR="00856417">
              <w:rPr>
                <w:noProof/>
                <w:webHidden/>
              </w:rPr>
              <w:fldChar w:fldCharType="separate"/>
            </w:r>
            <w:r w:rsidR="00495B38">
              <w:rPr>
                <w:noProof/>
                <w:webHidden/>
              </w:rPr>
              <w:t>4</w:t>
            </w:r>
            <w:r w:rsidR="00856417">
              <w:rPr>
                <w:noProof/>
                <w:webHidden/>
              </w:rPr>
              <w:fldChar w:fldCharType="end"/>
            </w:r>
          </w:hyperlink>
        </w:p>
        <w:p w:rsidR="00856417" w:rsidRDefault="00495B38">
          <w:pPr>
            <w:pStyle w:val="TOC2"/>
            <w:tabs>
              <w:tab w:val="right" w:leader="dot" w:pos="9350"/>
            </w:tabs>
            <w:rPr>
              <w:noProof/>
            </w:rPr>
          </w:pPr>
          <w:hyperlink w:anchor="_Toc5285464" w:history="1">
            <w:r w:rsidR="00856417" w:rsidRPr="00466CD7">
              <w:rPr>
                <w:rStyle w:val="Hyperlink"/>
                <w:noProof/>
              </w:rPr>
              <w:t>Tax Repeal and Replacement</w:t>
            </w:r>
            <w:r w:rsidR="00856417">
              <w:rPr>
                <w:noProof/>
                <w:webHidden/>
              </w:rPr>
              <w:tab/>
            </w:r>
            <w:r w:rsidR="00856417">
              <w:rPr>
                <w:noProof/>
                <w:webHidden/>
              </w:rPr>
              <w:fldChar w:fldCharType="begin"/>
            </w:r>
            <w:r w:rsidR="00856417">
              <w:rPr>
                <w:noProof/>
                <w:webHidden/>
              </w:rPr>
              <w:instrText xml:space="preserve"> PAGEREF _Toc5285464 \h </w:instrText>
            </w:r>
            <w:r w:rsidR="00856417">
              <w:rPr>
                <w:noProof/>
                <w:webHidden/>
              </w:rPr>
            </w:r>
            <w:r w:rsidR="00856417">
              <w:rPr>
                <w:noProof/>
                <w:webHidden/>
              </w:rPr>
              <w:fldChar w:fldCharType="separate"/>
            </w:r>
            <w:r>
              <w:rPr>
                <w:noProof/>
                <w:webHidden/>
              </w:rPr>
              <w:t>4</w:t>
            </w:r>
            <w:r w:rsidR="00856417">
              <w:rPr>
                <w:noProof/>
                <w:webHidden/>
              </w:rPr>
              <w:fldChar w:fldCharType="end"/>
            </w:r>
          </w:hyperlink>
        </w:p>
        <w:p w:rsidR="00856417" w:rsidRDefault="00495B38">
          <w:pPr>
            <w:pStyle w:val="TOC3"/>
            <w:tabs>
              <w:tab w:val="right" w:leader="dot" w:pos="9350"/>
            </w:tabs>
            <w:rPr>
              <w:noProof/>
            </w:rPr>
          </w:pPr>
          <w:hyperlink w:anchor="_Toc5285465" w:history="1">
            <w:r w:rsidR="00856417" w:rsidRPr="00466CD7">
              <w:rPr>
                <w:rStyle w:val="Hyperlink"/>
                <w:noProof/>
              </w:rPr>
              <w:t>Bank Franchise Tax</w:t>
            </w:r>
            <w:r w:rsidR="00856417">
              <w:rPr>
                <w:noProof/>
                <w:webHidden/>
              </w:rPr>
              <w:tab/>
            </w:r>
            <w:r w:rsidR="00856417">
              <w:rPr>
                <w:noProof/>
                <w:webHidden/>
              </w:rPr>
              <w:fldChar w:fldCharType="begin"/>
            </w:r>
            <w:r w:rsidR="00856417">
              <w:rPr>
                <w:noProof/>
                <w:webHidden/>
              </w:rPr>
              <w:instrText xml:space="preserve"> PAGEREF _Toc5285465 \h </w:instrText>
            </w:r>
            <w:r w:rsidR="00856417">
              <w:rPr>
                <w:noProof/>
                <w:webHidden/>
              </w:rPr>
            </w:r>
            <w:r w:rsidR="00856417">
              <w:rPr>
                <w:noProof/>
                <w:webHidden/>
              </w:rPr>
              <w:fldChar w:fldCharType="separate"/>
            </w:r>
            <w:r>
              <w:rPr>
                <w:noProof/>
                <w:webHidden/>
              </w:rPr>
              <w:t>4</w:t>
            </w:r>
            <w:r w:rsidR="00856417">
              <w:rPr>
                <w:noProof/>
                <w:webHidden/>
              </w:rPr>
              <w:fldChar w:fldCharType="end"/>
            </w:r>
          </w:hyperlink>
        </w:p>
        <w:p w:rsidR="00856417" w:rsidRDefault="00495B38">
          <w:pPr>
            <w:pStyle w:val="TOC2"/>
            <w:tabs>
              <w:tab w:val="right" w:leader="dot" w:pos="9350"/>
            </w:tabs>
            <w:rPr>
              <w:noProof/>
            </w:rPr>
          </w:pPr>
          <w:hyperlink w:anchor="_Toc5285466" w:history="1">
            <w:r w:rsidR="00856417" w:rsidRPr="00466CD7">
              <w:rPr>
                <w:rStyle w:val="Hyperlink"/>
                <w:noProof/>
              </w:rPr>
              <w:t>Other Reforms</w:t>
            </w:r>
            <w:r w:rsidR="00856417">
              <w:rPr>
                <w:noProof/>
                <w:webHidden/>
              </w:rPr>
              <w:tab/>
            </w:r>
            <w:r w:rsidR="00856417">
              <w:rPr>
                <w:noProof/>
                <w:webHidden/>
              </w:rPr>
              <w:fldChar w:fldCharType="begin"/>
            </w:r>
            <w:r w:rsidR="00856417">
              <w:rPr>
                <w:noProof/>
                <w:webHidden/>
              </w:rPr>
              <w:instrText xml:space="preserve"> PAGEREF _Toc5285466 \h </w:instrText>
            </w:r>
            <w:r w:rsidR="00856417">
              <w:rPr>
                <w:noProof/>
                <w:webHidden/>
              </w:rPr>
            </w:r>
            <w:r w:rsidR="00856417">
              <w:rPr>
                <w:noProof/>
                <w:webHidden/>
              </w:rPr>
              <w:fldChar w:fldCharType="separate"/>
            </w:r>
            <w:r>
              <w:rPr>
                <w:noProof/>
                <w:webHidden/>
              </w:rPr>
              <w:t>4</w:t>
            </w:r>
            <w:r w:rsidR="00856417">
              <w:rPr>
                <w:noProof/>
                <w:webHidden/>
              </w:rPr>
              <w:fldChar w:fldCharType="end"/>
            </w:r>
          </w:hyperlink>
        </w:p>
        <w:p w:rsidR="00856417" w:rsidRDefault="00495B38">
          <w:pPr>
            <w:pStyle w:val="TOC3"/>
            <w:tabs>
              <w:tab w:val="right" w:leader="dot" w:pos="9350"/>
            </w:tabs>
            <w:rPr>
              <w:noProof/>
            </w:rPr>
          </w:pPr>
          <w:hyperlink w:anchor="_Toc5285467" w:history="1">
            <w:r w:rsidR="00856417" w:rsidRPr="00466CD7">
              <w:rPr>
                <w:rStyle w:val="Hyperlink"/>
                <w:noProof/>
              </w:rPr>
              <w:t>Marketplace Providers</w:t>
            </w:r>
            <w:r w:rsidR="00856417">
              <w:rPr>
                <w:noProof/>
                <w:webHidden/>
              </w:rPr>
              <w:tab/>
            </w:r>
            <w:r w:rsidR="00856417">
              <w:rPr>
                <w:noProof/>
                <w:webHidden/>
              </w:rPr>
              <w:fldChar w:fldCharType="begin"/>
            </w:r>
            <w:r w:rsidR="00856417">
              <w:rPr>
                <w:noProof/>
                <w:webHidden/>
              </w:rPr>
              <w:instrText xml:space="preserve"> PAGEREF _Toc5285467 \h </w:instrText>
            </w:r>
            <w:r w:rsidR="00856417">
              <w:rPr>
                <w:noProof/>
                <w:webHidden/>
              </w:rPr>
            </w:r>
            <w:r w:rsidR="00856417">
              <w:rPr>
                <w:noProof/>
                <w:webHidden/>
              </w:rPr>
              <w:fldChar w:fldCharType="separate"/>
            </w:r>
            <w:r>
              <w:rPr>
                <w:noProof/>
                <w:webHidden/>
              </w:rPr>
              <w:t>4</w:t>
            </w:r>
            <w:r w:rsidR="00856417">
              <w:rPr>
                <w:noProof/>
                <w:webHidden/>
              </w:rPr>
              <w:fldChar w:fldCharType="end"/>
            </w:r>
          </w:hyperlink>
        </w:p>
        <w:p w:rsidR="00856417" w:rsidRDefault="00495B38">
          <w:pPr>
            <w:pStyle w:val="TOC3"/>
            <w:tabs>
              <w:tab w:val="right" w:leader="dot" w:pos="9350"/>
            </w:tabs>
            <w:rPr>
              <w:noProof/>
            </w:rPr>
          </w:pPr>
          <w:hyperlink w:anchor="_Toc5285468" w:history="1">
            <w:r w:rsidR="00856417" w:rsidRPr="00466CD7">
              <w:rPr>
                <w:rStyle w:val="Hyperlink"/>
                <w:noProof/>
              </w:rPr>
              <w:t>Personal Property Tax Return Filing</w:t>
            </w:r>
            <w:r w:rsidR="00856417">
              <w:rPr>
                <w:noProof/>
                <w:webHidden/>
              </w:rPr>
              <w:tab/>
            </w:r>
            <w:r w:rsidR="00856417">
              <w:rPr>
                <w:noProof/>
                <w:webHidden/>
              </w:rPr>
              <w:fldChar w:fldCharType="begin"/>
            </w:r>
            <w:r w:rsidR="00856417">
              <w:rPr>
                <w:noProof/>
                <w:webHidden/>
              </w:rPr>
              <w:instrText xml:space="preserve"> PAGEREF _Toc5285468 \h </w:instrText>
            </w:r>
            <w:r w:rsidR="00856417">
              <w:rPr>
                <w:noProof/>
                <w:webHidden/>
              </w:rPr>
            </w:r>
            <w:r w:rsidR="00856417">
              <w:rPr>
                <w:noProof/>
                <w:webHidden/>
              </w:rPr>
              <w:fldChar w:fldCharType="separate"/>
            </w:r>
            <w:r>
              <w:rPr>
                <w:noProof/>
                <w:webHidden/>
              </w:rPr>
              <w:t>4</w:t>
            </w:r>
            <w:r w:rsidR="00856417">
              <w:rPr>
                <w:noProof/>
                <w:webHidden/>
              </w:rPr>
              <w:fldChar w:fldCharType="end"/>
            </w:r>
          </w:hyperlink>
        </w:p>
        <w:p w:rsidR="00856417" w:rsidRDefault="00495B38">
          <w:pPr>
            <w:pStyle w:val="TOC3"/>
            <w:tabs>
              <w:tab w:val="right" w:leader="dot" w:pos="9350"/>
            </w:tabs>
            <w:rPr>
              <w:noProof/>
            </w:rPr>
          </w:pPr>
          <w:hyperlink w:anchor="_Toc5285469" w:history="1">
            <w:r w:rsidR="00856417" w:rsidRPr="00466CD7">
              <w:rPr>
                <w:rStyle w:val="Hyperlink"/>
                <w:noProof/>
              </w:rPr>
              <w:t>Estimated Income Tax Payment Rules</w:t>
            </w:r>
            <w:r w:rsidR="00856417">
              <w:rPr>
                <w:noProof/>
                <w:webHidden/>
              </w:rPr>
              <w:tab/>
            </w:r>
            <w:r w:rsidR="00856417">
              <w:rPr>
                <w:noProof/>
                <w:webHidden/>
              </w:rPr>
              <w:fldChar w:fldCharType="begin"/>
            </w:r>
            <w:r w:rsidR="00856417">
              <w:rPr>
                <w:noProof/>
                <w:webHidden/>
              </w:rPr>
              <w:instrText xml:space="preserve"> PAGEREF _Toc5285469 \h </w:instrText>
            </w:r>
            <w:r w:rsidR="00856417">
              <w:rPr>
                <w:noProof/>
                <w:webHidden/>
              </w:rPr>
            </w:r>
            <w:r w:rsidR="00856417">
              <w:rPr>
                <w:noProof/>
                <w:webHidden/>
              </w:rPr>
              <w:fldChar w:fldCharType="separate"/>
            </w:r>
            <w:r>
              <w:rPr>
                <w:noProof/>
                <w:webHidden/>
              </w:rPr>
              <w:t>5</w:t>
            </w:r>
            <w:r w:rsidR="00856417">
              <w:rPr>
                <w:noProof/>
                <w:webHidden/>
              </w:rPr>
              <w:fldChar w:fldCharType="end"/>
            </w:r>
          </w:hyperlink>
        </w:p>
        <w:p w:rsidR="00856417" w:rsidRDefault="00495B38">
          <w:pPr>
            <w:pStyle w:val="TOC3"/>
            <w:tabs>
              <w:tab w:val="right" w:leader="dot" w:pos="9350"/>
            </w:tabs>
            <w:rPr>
              <w:noProof/>
            </w:rPr>
          </w:pPr>
          <w:hyperlink w:anchor="_Toc5285470" w:history="1">
            <w:r w:rsidR="00856417" w:rsidRPr="00466CD7">
              <w:rPr>
                <w:rStyle w:val="Hyperlink"/>
                <w:noProof/>
              </w:rPr>
              <w:t>Heavy Equipment Rental Inventory</w:t>
            </w:r>
            <w:r w:rsidR="00856417">
              <w:rPr>
                <w:noProof/>
                <w:webHidden/>
              </w:rPr>
              <w:tab/>
            </w:r>
            <w:r w:rsidR="00856417">
              <w:rPr>
                <w:noProof/>
                <w:webHidden/>
              </w:rPr>
              <w:fldChar w:fldCharType="begin"/>
            </w:r>
            <w:r w:rsidR="00856417">
              <w:rPr>
                <w:noProof/>
                <w:webHidden/>
              </w:rPr>
              <w:instrText xml:space="preserve"> PAGEREF _Toc5285470 \h </w:instrText>
            </w:r>
            <w:r w:rsidR="00856417">
              <w:rPr>
                <w:noProof/>
                <w:webHidden/>
              </w:rPr>
            </w:r>
            <w:r w:rsidR="00856417">
              <w:rPr>
                <w:noProof/>
                <w:webHidden/>
              </w:rPr>
              <w:fldChar w:fldCharType="separate"/>
            </w:r>
            <w:r>
              <w:rPr>
                <w:noProof/>
                <w:webHidden/>
              </w:rPr>
              <w:t>5</w:t>
            </w:r>
            <w:r w:rsidR="00856417">
              <w:rPr>
                <w:noProof/>
                <w:webHidden/>
              </w:rPr>
              <w:fldChar w:fldCharType="end"/>
            </w:r>
          </w:hyperlink>
        </w:p>
        <w:p w:rsidR="00856417" w:rsidRDefault="00495B38">
          <w:pPr>
            <w:pStyle w:val="TOC3"/>
            <w:tabs>
              <w:tab w:val="right" w:leader="dot" w:pos="9350"/>
            </w:tabs>
            <w:rPr>
              <w:noProof/>
            </w:rPr>
          </w:pPr>
          <w:hyperlink w:anchor="_Toc5285471" w:history="1">
            <w:r w:rsidR="00856417" w:rsidRPr="00466CD7">
              <w:rPr>
                <w:rStyle w:val="Hyperlink"/>
                <w:noProof/>
              </w:rPr>
              <w:t xml:space="preserve">Enhanced Internal Revenue Code (IRC) </w:t>
            </w:r>
            <w:r w:rsidR="00856417" w:rsidRPr="00466CD7">
              <w:rPr>
                <w:rStyle w:val="Hyperlink"/>
                <w:rFonts w:cstheme="minorHAnsi"/>
                <w:noProof/>
              </w:rPr>
              <w:t>§</w:t>
            </w:r>
            <w:r w:rsidR="00856417" w:rsidRPr="00466CD7">
              <w:rPr>
                <w:rStyle w:val="Hyperlink"/>
                <w:noProof/>
              </w:rPr>
              <w:t>179 Deductions</w:t>
            </w:r>
            <w:r w:rsidR="00856417">
              <w:rPr>
                <w:noProof/>
                <w:webHidden/>
              </w:rPr>
              <w:tab/>
            </w:r>
            <w:r w:rsidR="00856417">
              <w:rPr>
                <w:noProof/>
                <w:webHidden/>
              </w:rPr>
              <w:fldChar w:fldCharType="begin"/>
            </w:r>
            <w:r w:rsidR="00856417">
              <w:rPr>
                <w:noProof/>
                <w:webHidden/>
              </w:rPr>
              <w:instrText xml:space="preserve"> PAGEREF _Toc5285471 \h </w:instrText>
            </w:r>
            <w:r w:rsidR="00856417">
              <w:rPr>
                <w:noProof/>
                <w:webHidden/>
              </w:rPr>
            </w:r>
            <w:r w:rsidR="00856417">
              <w:rPr>
                <w:noProof/>
                <w:webHidden/>
              </w:rPr>
              <w:fldChar w:fldCharType="separate"/>
            </w:r>
            <w:r>
              <w:rPr>
                <w:noProof/>
                <w:webHidden/>
              </w:rPr>
              <w:t>5</w:t>
            </w:r>
            <w:r w:rsidR="00856417">
              <w:rPr>
                <w:noProof/>
                <w:webHidden/>
              </w:rPr>
              <w:fldChar w:fldCharType="end"/>
            </w:r>
          </w:hyperlink>
        </w:p>
        <w:p w:rsidR="00856417" w:rsidRDefault="00495B38">
          <w:pPr>
            <w:pStyle w:val="TOC3"/>
            <w:tabs>
              <w:tab w:val="right" w:leader="dot" w:pos="9350"/>
            </w:tabs>
            <w:rPr>
              <w:noProof/>
            </w:rPr>
          </w:pPr>
          <w:hyperlink w:anchor="_Toc5285472" w:history="1">
            <w:r w:rsidR="00856417" w:rsidRPr="00466CD7">
              <w:rPr>
                <w:rStyle w:val="Hyperlink"/>
                <w:noProof/>
              </w:rPr>
              <w:t>Major Recycling Project Enhancements</w:t>
            </w:r>
            <w:r w:rsidR="00856417">
              <w:rPr>
                <w:noProof/>
                <w:webHidden/>
              </w:rPr>
              <w:tab/>
            </w:r>
            <w:r w:rsidR="00856417">
              <w:rPr>
                <w:noProof/>
                <w:webHidden/>
              </w:rPr>
              <w:fldChar w:fldCharType="begin"/>
            </w:r>
            <w:r w:rsidR="00856417">
              <w:rPr>
                <w:noProof/>
                <w:webHidden/>
              </w:rPr>
              <w:instrText xml:space="preserve"> PAGEREF _Toc5285472 \h </w:instrText>
            </w:r>
            <w:r w:rsidR="00856417">
              <w:rPr>
                <w:noProof/>
                <w:webHidden/>
              </w:rPr>
            </w:r>
            <w:r w:rsidR="00856417">
              <w:rPr>
                <w:noProof/>
                <w:webHidden/>
              </w:rPr>
              <w:fldChar w:fldCharType="separate"/>
            </w:r>
            <w:r>
              <w:rPr>
                <w:noProof/>
                <w:webHidden/>
              </w:rPr>
              <w:t>5</w:t>
            </w:r>
            <w:r w:rsidR="00856417">
              <w:rPr>
                <w:noProof/>
                <w:webHidden/>
              </w:rPr>
              <w:fldChar w:fldCharType="end"/>
            </w:r>
          </w:hyperlink>
        </w:p>
        <w:p w:rsidR="00856417" w:rsidRDefault="00495B38">
          <w:pPr>
            <w:pStyle w:val="TOC3"/>
            <w:tabs>
              <w:tab w:val="right" w:leader="dot" w:pos="9350"/>
            </w:tabs>
            <w:rPr>
              <w:noProof/>
            </w:rPr>
          </w:pPr>
          <w:hyperlink w:anchor="_Toc5285473" w:history="1">
            <w:r w:rsidR="00856417" w:rsidRPr="00466CD7">
              <w:rPr>
                <w:rStyle w:val="Hyperlink"/>
                <w:noProof/>
              </w:rPr>
              <w:t>Kentucky YMCA Youth Assembly Program Check-Off</w:t>
            </w:r>
            <w:r w:rsidR="00856417">
              <w:rPr>
                <w:noProof/>
                <w:webHidden/>
              </w:rPr>
              <w:tab/>
            </w:r>
            <w:r w:rsidR="00856417">
              <w:rPr>
                <w:noProof/>
                <w:webHidden/>
              </w:rPr>
              <w:fldChar w:fldCharType="begin"/>
            </w:r>
            <w:r w:rsidR="00856417">
              <w:rPr>
                <w:noProof/>
                <w:webHidden/>
              </w:rPr>
              <w:instrText xml:space="preserve"> PAGEREF _Toc5285473 \h </w:instrText>
            </w:r>
            <w:r w:rsidR="00856417">
              <w:rPr>
                <w:noProof/>
                <w:webHidden/>
              </w:rPr>
            </w:r>
            <w:r w:rsidR="00856417">
              <w:rPr>
                <w:noProof/>
                <w:webHidden/>
              </w:rPr>
              <w:fldChar w:fldCharType="separate"/>
            </w:r>
            <w:r>
              <w:rPr>
                <w:noProof/>
                <w:webHidden/>
              </w:rPr>
              <w:t>5</w:t>
            </w:r>
            <w:r w:rsidR="00856417">
              <w:rPr>
                <w:noProof/>
                <w:webHidden/>
              </w:rPr>
              <w:fldChar w:fldCharType="end"/>
            </w:r>
          </w:hyperlink>
        </w:p>
        <w:p w:rsidR="00856417" w:rsidRDefault="00495B38">
          <w:pPr>
            <w:pStyle w:val="TOC3"/>
            <w:tabs>
              <w:tab w:val="right" w:leader="dot" w:pos="9350"/>
            </w:tabs>
            <w:rPr>
              <w:noProof/>
            </w:rPr>
          </w:pPr>
          <w:hyperlink w:anchor="_Toc5285474" w:history="1">
            <w:r w:rsidR="00856417" w:rsidRPr="00466CD7">
              <w:rPr>
                <w:rStyle w:val="Hyperlink"/>
                <w:noProof/>
              </w:rPr>
              <w:t>Corporation Deferred Tax Deduction</w:t>
            </w:r>
            <w:r w:rsidR="00856417">
              <w:rPr>
                <w:noProof/>
                <w:webHidden/>
              </w:rPr>
              <w:tab/>
            </w:r>
            <w:r w:rsidR="00856417">
              <w:rPr>
                <w:noProof/>
                <w:webHidden/>
              </w:rPr>
              <w:fldChar w:fldCharType="begin"/>
            </w:r>
            <w:r w:rsidR="00856417">
              <w:rPr>
                <w:noProof/>
                <w:webHidden/>
              </w:rPr>
              <w:instrText xml:space="preserve"> PAGEREF _Toc5285474 \h </w:instrText>
            </w:r>
            <w:r w:rsidR="00856417">
              <w:rPr>
                <w:noProof/>
                <w:webHidden/>
              </w:rPr>
            </w:r>
            <w:r w:rsidR="00856417">
              <w:rPr>
                <w:noProof/>
                <w:webHidden/>
              </w:rPr>
              <w:fldChar w:fldCharType="separate"/>
            </w:r>
            <w:r>
              <w:rPr>
                <w:noProof/>
                <w:webHidden/>
              </w:rPr>
              <w:t>6</w:t>
            </w:r>
            <w:r w:rsidR="00856417">
              <w:rPr>
                <w:noProof/>
                <w:webHidden/>
              </w:rPr>
              <w:fldChar w:fldCharType="end"/>
            </w:r>
          </w:hyperlink>
        </w:p>
        <w:p w:rsidR="00856417" w:rsidRDefault="00495B38">
          <w:pPr>
            <w:pStyle w:val="TOC3"/>
            <w:tabs>
              <w:tab w:val="right" w:leader="dot" w:pos="9350"/>
            </w:tabs>
            <w:rPr>
              <w:noProof/>
            </w:rPr>
          </w:pPr>
          <w:hyperlink w:anchor="_Toc5285475" w:history="1">
            <w:r w:rsidR="00856417" w:rsidRPr="00466CD7">
              <w:rPr>
                <w:rStyle w:val="Hyperlink"/>
                <w:noProof/>
              </w:rPr>
              <w:t>Farmer Small Business Tax Credit</w:t>
            </w:r>
            <w:r w:rsidR="00856417">
              <w:rPr>
                <w:noProof/>
                <w:webHidden/>
              </w:rPr>
              <w:tab/>
            </w:r>
            <w:r w:rsidR="00856417">
              <w:rPr>
                <w:noProof/>
                <w:webHidden/>
              </w:rPr>
              <w:fldChar w:fldCharType="begin"/>
            </w:r>
            <w:r w:rsidR="00856417">
              <w:rPr>
                <w:noProof/>
                <w:webHidden/>
              </w:rPr>
              <w:instrText xml:space="preserve"> PAGEREF _Toc5285475 \h </w:instrText>
            </w:r>
            <w:r w:rsidR="00856417">
              <w:rPr>
                <w:noProof/>
                <w:webHidden/>
              </w:rPr>
            </w:r>
            <w:r w:rsidR="00856417">
              <w:rPr>
                <w:noProof/>
                <w:webHidden/>
              </w:rPr>
              <w:fldChar w:fldCharType="separate"/>
            </w:r>
            <w:r>
              <w:rPr>
                <w:noProof/>
                <w:webHidden/>
              </w:rPr>
              <w:t>6</w:t>
            </w:r>
            <w:r w:rsidR="00856417">
              <w:rPr>
                <w:noProof/>
                <w:webHidden/>
              </w:rPr>
              <w:fldChar w:fldCharType="end"/>
            </w:r>
          </w:hyperlink>
        </w:p>
        <w:p w:rsidR="00856417" w:rsidRDefault="00495B38">
          <w:pPr>
            <w:pStyle w:val="TOC1"/>
            <w:tabs>
              <w:tab w:val="right" w:leader="dot" w:pos="9350"/>
            </w:tabs>
            <w:rPr>
              <w:noProof/>
            </w:rPr>
          </w:pPr>
          <w:hyperlink w:anchor="_Toc5285476" w:history="1">
            <w:r w:rsidR="00856417" w:rsidRPr="00466CD7">
              <w:rPr>
                <w:rStyle w:val="Hyperlink"/>
                <w:b/>
                <w:noProof/>
              </w:rPr>
              <w:t>Modifications to HB 487</w:t>
            </w:r>
            <w:r w:rsidR="00856417">
              <w:rPr>
                <w:noProof/>
                <w:webHidden/>
              </w:rPr>
              <w:tab/>
            </w:r>
            <w:r w:rsidR="00856417">
              <w:rPr>
                <w:noProof/>
                <w:webHidden/>
              </w:rPr>
              <w:fldChar w:fldCharType="begin"/>
            </w:r>
            <w:r w:rsidR="00856417">
              <w:rPr>
                <w:noProof/>
                <w:webHidden/>
              </w:rPr>
              <w:instrText xml:space="preserve"> PAGEREF _Toc5285476 \h </w:instrText>
            </w:r>
            <w:r w:rsidR="00856417">
              <w:rPr>
                <w:noProof/>
                <w:webHidden/>
              </w:rPr>
            </w:r>
            <w:r w:rsidR="00856417">
              <w:rPr>
                <w:noProof/>
                <w:webHidden/>
              </w:rPr>
              <w:fldChar w:fldCharType="separate"/>
            </w:r>
            <w:r>
              <w:rPr>
                <w:noProof/>
                <w:webHidden/>
              </w:rPr>
              <w:t>7</w:t>
            </w:r>
            <w:r w:rsidR="00856417">
              <w:rPr>
                <w:noProof/>
                <w:webHidden/>
              </w:rPr>
              <w:fldChar w:fldCharType="end"/>
            </w:r>
          </w:hyperlink>
        </w:p>
        <w:p w:rsidR="00856417" w:rsidRDefault="00495B38">
          <w:pPr>
            <w:pStyle w:val="TOC2"/>
            <w:tabs>
              <w:tab w:val="right" w:leader="dot" w:pos="9350"/>
            </w:tabs>
            <w:rPr>
              <w:noProof/>
            </w:rPr>
          </w:pPr>
          <w:hyperlink w:anchor="_Toc5285477" w:history="1">
            <w:r w:rsidR="00856417" w:rsidRPr="00466CD7">
              <w:rPr>
                <w:rStyle w:val="Hyperlink"/>
                <w:noProof/>
              </w:rPr>
              <w:t>Restoration of Certain Provisions</w:t>
            </w:r>
            <w:r w:rsidR="00856417">
              <w:rPr>
                <w:noProof/>
                <w:webHidden/>
              </w:rPr>
              <w:tab/>
            </w:r>
            <w:r w:rsidR="00856417">
              <w:rPr>
                <w:noProof/>
                <w:webHidden/>
              </w:rPr>
              <w:fldChar w:fldCharType="begin"/>
            </w:r>
            <w:r w:rsidR="00856417">
              <w:rPr>
                <w:noProof/>
                <w:webHidden/>
              </w:rPr>
              <w:instrText xml:space="preserve"> PAGEREF _Toc5285477 \h </w:instrText>
            </w:r>
            <w:r w:rsidR="00856417">
              <w:rPr>
                <w:noProof/>
                <w:webHidden/>
              </w:rPr>
            </w:r>
            <w:r w:rsidR="00856417">
              <w:rPr>
                <w:noProof/>
                <w:webHidden/>
              </w:rPr>
              <w:fldChar w:fldCharType="separate"/>
            </w:r>
            <w:r>
              <w:rPr>
                <w:noProof/>
                <w:webHidden/>
              </w:rPr>
              <w:t>7</w:t>
            </w:r>
            <w:r w:rsidR="00856417">
              <w:rPr>
                <w:noProof/>
                <w:webHidden/>
              </w:rPr>
              <w:fldChar w:fldCharType="end"/>
            </w:r>
          </w:hyperlink>
        </w:p>
        <w:p w:rsidR="00856417" w:rsidRDefault="00495B38">
          <w:pPr>
            <w:pStyle w:val="TOC3"/>
            <w:tabs>
              <w:tab w:val="right" w:leader="dot" w:pos="9350"/>
            </w:tabs>
            <w:rPr>
              <w:noProof/>
            </w:rPr>
          </w:pPr>
          <w:hyperlink w:anchor="_Toc5285478" w:history="1">
            <w:r w:rsidR="00856417" w:rsidRPr="00466CD7">
              <w:rPr>
                <w:rStyle w:val="Hyperlink"/>
                <w:noProof/>
              </w:rPr>
              <w:t>Individual Itemized Deductions</w:t>
            </w:r>
            <w:r w:rsidR="00856417">
              <w:rPr>
                <w:noProof/>
                <w:webHidden/>
              </w:rPr>
              <w:tab/>
            </w:r>
            <w:r w:rsidR="00856417">
              <w:rPr>
                <w:noProof/>
                <w:webHidden/>
              </w:rPr>
              <w:fldChar w:fldCharType="begin"/>
            </w:r>
            <w:r w:rsidR="00856417">
              <w:rPr>
                <w:noProof/>
                <w:webHidden/>
              </w:rPr>
              <w:instrText xml:space="preserve"> PAGEREF _Toc5285478 \h </w:instrText>
            </w:r>
            <w:r w:rsidR="00856417">
              <w:rPr>
                <w:noProof/>
                <w:webHidden/>
              </w:rPr>
            </w:r>
            <w:r w:rsidR="00856417">
              <w:rPr>
                <w:noProof/>
                <w:webHidden/>
              </w:rPr>
              <w:fldChar w:fldCharType="separate"/>
            </w:r>
            <w:r>
              <w:rPr>
                <w:noProof/>
                <w:webHidden/>
              </w:rPr>
              <w:t>7</w:t>
            </w:r>
            <w:r w:rsidR="00856417">
              <w:rPr>
                <w:noProof/>
                <w:webHidden/>
              </w:rPr>
              <w:fldChar w:fldCharType="end"/>
            </w:r>
          </w:hyperlink>
        </w:p>
        <w:p w:rsidR="00856417" w:rsidRDefault="00495B38">
          <w:pPr>
            <w:pStyle w:val="TOC3"/>
            <w:tabs>
              <w:tab w:val="right" w:leader="dot" w:pos="9350"/>
            </w:tabs>
            <w:rPr>
              <w:noProof/>
            </w:rPr>
          </w:pPr>
          <w:hyperlink w:anchor="_Toc5285479" w:history="1">
            <w:r w:rsidR="00856417" w:rsidRPr="00466CD7">
              <w:rPr>
                <w:rStyle w:val="Hyperlink"/>
                <w:noProof/>
              </w:rPr>
              <w:t>Family-Sized Tax Credit Enhancement</w:t>
            </w:r>
            <w:r w:rsidR="00856417">
              <w:rPr>
                <w:noProof/>
                <w:webHidden/>
              </w:rPr>
              <w:tab/>
            </w:r>
            <w:r w:rsidR="00856417">
              <w:rPr>
                <w:noProof/>
                <w:webHidden/>
              </w:rPr>
              <w:fldChar w:fldCharType="begin"/>
            </w:r>
            <w:r w:rsidR="00856417">
              <w:rPr>
                <w:noProof/>
                <w:webHidden/>
              </w:rPr>
              <w:instrText xml:space="preserve"> PAGEREF _Toc5285479 \h </w:instrText>
            </w:r>
            <w:r w:rsidR="00856417">
              <w:rPr>
                <w:noProof/>
                <w:webHidden/>
              </w:rPr>
            </w:r>
            <w:r w:rsidR="00856417">
              <w:rPr>
                <w:noProof/>
                <w:webHidden/>
              </w:rPr>
              <w:fldChar w:fldCharType="separate"/>
            </w:r>
            <w:r>
              <w:rPr>
                <w:noProof/>
                <w:webHidden/>
              </w:rPr>
              <w:t>7</w:t>
            </w:r>
            <w:r w:rsidR="00856417">
              <w:rPr>
                <w:noProof/>
                <w:webHidden/>
              </w:rPr>
              <w:fldChar w:fldCharType="end"/>
            </w:r>
          </w:hyperlink>
        </w:p>
        <w:p w:rsidR="00856417" w:rsidRDefault="00495B38">
          <w:pPr>
            <w:pStyle w:val="TOC3"/>
            <w:tabs>
              <w:tab w:val="right" w:leader="dot" w:pos="9350"/>
            </w:tabs>
            <w:rPr>
              <w:noProof/>
            </w:rPr>
          </w:pPr>
          <w:hyperlink w:anchor="_Toc5285480" w:history="1">
            <w:r w:rsidR="00856417" w:rsidRPr="00466CD7">
              <w:rPr>
                <w:rStyle w:val="Hyperlink"/>
                <w:noProof/>
              </w:rPr>
              <w:t>Manufacturing Toller Energy Tax Exemptions</w:t>
            </w:r>
            <w:r w:rsidR="00856417">
              <w:rPr>
                <w:noProof/>
                <w:webHidden/>
              </w:rPr>
              <w:tab/>
            </w:r>
            <w:r w:rsidR="00856417">
              <w:rPr>
                <w:noProof/>
                <w:webHidden/>
              </w:rPr>
              <w:fldChar w:fldCharType="begin"/>
            </w:r>
            <w:r w:rsidR="00856417">
              <w:rPr>
                <w:noProof/>
                <w:webHidden/>
              </w:rPr>
              <w:instrText xml:space="preserve"> PAGEREF _Toc5285480 \h </w:instrText>
            </w:r>
            <w:r w:rsidR="00856417">
              <w:rPr>
                <w:noProof/>
                <w:webHidden/>
              </w:rPr>
            </w:r>
            <w:r w:rsidR="00856417">
              <w:rPr>
                <w:noProof/>
                <w:webHidden/>
              </w:rPr>
              <w:fldChar w:fldCharType="separate"/>
            </w:r>
            <w:r>
              <w:rPr>
                <w:noProof/>
                <w:webHidden/>
              </w:rPr>
              <w:t>7</w:t>
            </w:r>
            <w:r w:rsidR="00856417">
              <w:rPr>
                <w:noProof/>
                <w:webHidden/>
              </w:rPr>
              <w:fldChar w:fldCharType="end"/>
            </w:r>
          </w:hyperlink>
        </w:p>
        <w:p w:rsidR="00856417" w:rsidRDefault="00495B38">
          <w:pPr>
            <w:pStyle w:val="TOC3"/>
            <w:tabs>
              <w:tab w:val="right" w:leader="dot" w:pos="9350"/>
            </w:tabs>
            <w:rPr>
              <w:noProof/>
            </w:rPr>
          </w:pPr>
          <w:hyperlink w:anchor="_Toc5285481" w:history="1">
            <w:r w:rsidR="00856417" w:rsidRPr="00466CD7">
              <w:rPr>
                <w:rStyle w:val="Hyperlink"/>
                <w:noProof/>
              </w:rPr>
              <w:t>TVA-in-lieu-of Payment Administration</w:t>
            </w:r>
            <w:r w:rsidR="00856417">
              <w:rPr>
                <w:noProof/>
                <w:webHidden/>
              </w:rPr>
              <w:tab/>
            </w:r>
            <w:r w:rsidR="00856417">
              <w:rPr>
                <w:noProof/>
                <w:webHidden/>
              </w:rPr>
              <w:fldChar w:fldCharType="begin"/>
            </w:r>
            <w:r w:rsidR="00856417">
              <w:rPr>
                <w:noProof/>
                <w:webHidden/>
              </w:rPr>
              <w:instrText xml:space="preserve"> PAGEREF _Toc5285481 \h </w:instrText>
            </w:r>
            <w:r w:rsidR="00856417">
              <w:rPr>
                <w:noProof/>
                <w:webHidden/>
              </w:rPr>
            </w:r>
            <w:r w:rsidR="00856417">
              <w:rPr>
                <w:noProof/>
                <w:webHidden/>
              </w:rPr>
              <w:fldChar w:fldCharType="separate"/>
            </w:r>
            <w:r>
              <w:rPr>
                <w:noProof/>
                <w:webHidden/>
              </w:rPr>
              <w:t>7</w:t>
            </w:r>
            <w:r w:rsidR="00856417">
              <w:rPr>
                <w:noProof/>
                <w:webHidden/>
              </w:rPr>
              <w:fldChar w:fldCharType="end"/>
            </w:r>
          </w:hyperlink>
        </w:p>
        <w:p w:rsidR="00856417" w:rsidRDefault="00495B38">
          <w:pPr>
            <w:pStyle w:val="TOC3"/>
            <w:tabs>
              <w:tab w:val="right" w:leader="dot" w:pos="9350"/>
            </w:tabs>
            <w:rPr>
              <w:noProof/>
            </w:rPr>
          </w:pPr>
          <w:hyperlink w:anchor="_Toc5285482" w:history="1">
            <w:r w:rsidR="00856417" w:rsidRPr="00466CD7">
              <w:rPr>
                <w:rStyle w:val="Hyperlink"/>
                <w:noProof/>
              </w:rPr>
              <w:t>Fishing Tournaments and Warranty Contracts</w:t>
            </w:r>
            <w:r w:rsidR="00856417">
              <w:rPr>
                <w:noProof/>
                <w:webHidden/>
              </w:rPr>
              <w:tab/>
            </w:r>
            <w:r w:rsidR="00856417">
              <w:rPr>
                <w:noProof/>
                <w:webHidden/>
              </w:rPr>
              <w:fldChar w:fldCharType="begin"/>
            </w:r>
            <w:r w:rsidR="00856417">
              <w:rPr>
                <w:noProof/>
                <w:webHidden/>
              </w:rPr>
              <w:instrText xml:space="preserve"> PAGEREF _Toc5285482 \h </w:instrText>
            </w:r>
            <w:r w:rsidR="00856417">
              <w:rPr>
                <w:noProof/>
                <w:webHidden/>
              </w:rPr>
            </w:r>
            <w:r w:rsidR="00856417">
              <w:rPr>
                <w:noProof/>
                <w:webHidden/>
              </w:rPr>
              <w:fldChar w:fldCharType="separate"/>
            </w:r>
            <w:r>
              <w:rPr>
                <w:noProof/>
                <w:webHidden/>
              </w:rPr>
              <w:t>8</w:t>
            </w:r>
            <w:r w:rsidR="00856417">
              <w:rPr>
                <w:noProof/>
                <w:webHidden/>
              </w:rPr>
              <w:fldChar w:fldCharType="end"/>
            </w:r>
          </w:hyperlink>
        </w:p>
        <w:p w:rsidR="00856417" w:rsidRDefault="00495B38">
          <w:pPr>
            <w:pStyle w:val="TOC3"/>
            <w:tabs>
              <w:tab w:val="right" w:leader="dot" w:pos="9350"/>
            </w:tabs>
            <w:rPr>
              <w:noProof/>
            </w:rPr>
          </w:pPr>
          <w:hyperlink w:anchor="_Toc5285483" w:history="1">
            <w:r w:rsidR="00856417" w:rsidRPr="00466CD7">
              <w:rPr>
                <w:rStyle w:val="Hyperlink"/>
                <w:noProof/>
              </w:rPr>
              <w:t>Economic Development Tax Credit Sunset Provisions</w:t>
            </w:r>
            <w:r w:rsidR="00856417">
              <w:rPr>
                <w:noProof/>
                <w:webHidden/>
              </w:rPr>
              <w:tab/>
            </w:r>
            <w:r w:rsidR="00856417">
              <w:rPr>
                <w:noProof/>
                <w:webHidden/>
              </w:rPr>
              <w:fldChar w:fldCharType="begin"/>
            </w:r>
            <w:r w:rsidR="00856417">
              <w:rPr>
                <w:noProof/>
                <w:webHidden/>
              </w:rPr>
              <w:instrText xml:space="preserve"> PAGEREF _Toc5285483 \h </w:instrText>
            </w:r>
            <w:r w:rsidR="00856417">
              <w:rPr>
                <w:noProof/>
                <w:webHidden/>
              </w:rPr>
            </w:r>
            <w:r w:rsidR="00856417">
              <w:rPr>
                <w:noProof/>
                <w:webHidden/>
              </w:rPr>
              <w:fldChar w:fldCharType="separate"/>
            </w:r>
            <w:r>
              <w:rPr>
                <w:noProof/>
                <w:webHidden/>
              </w:rPr>
              <w:t>8</w:t>
            </w:r>
            <w:r w:rsidR="00856417">
              <w:rPr>
                <w:noProof/>
                <w:webHidden/>
              </w:rPr>
              <w:fldChar w:fldCharType="end"/>
            </w:r>
          </w:hyperlink>
        </w:p>
        <w:p w:rsidR="00856417" w:rsidRDefault="00495B38">
          <w:pPr>
            <w:pStyle w:val="TOC2"/>
            <w:tabs>
              <w:tab w:val="right" w:leader="dot" w:pos="9350"/>
            </w:tabs>
            <w:rPr>
              <w:noProof/>
            </w:rPr>
          </w:pPr>
          <w:hyperlink w:anchor="_Toc5285484" w:history="1">
            <w:r w:rsidR="00856417" w:rsidRPr="00466CD7">
              <w:rPr>
                <w:rStyle w:val="Hyperlink"/>
                <w:noProof/>
              </w:rPr>
              <w:t>Enhancements to HB 487</w:t>
            </w:r>
            <w:r w:rsidR="00856417">
              <w:rPr>
                <w:noProof/>
                <w:webHidden/>
              </w:rPr>
              <w:tab/>
            </w:r>
            <w:r w:rsidR="00856417">
              <w:rPr>
                <w:noProof/>
                <w:webHidden/>
              </w:rPr>
              <w:fldChar w:fldCharType="begin"/>
            </w:r>
            <w:r w:rsidR="00856417">
              <w:rPr>
                <w:noProof/>
                <w:webHidden/>
              </w:rPr>
              <w:instrText xml:space="preserve"> PAGEREF _Toc5285484 \h </w:instrText>
            </w:r>
            <w:r w:rsidR="00856417">
              <w:rPr>
                <w:noProof/>
                <w:webHidden/>
              </w:rPr>
            </w:r>
            <w:r w:rsidR="00856417">
              <w:rPr>
                <w:noProof/>
                <w:webHidden/>
              </w:rPr>
              <w:fldChar w:fldCharType="separate"/>
            </w:r>
            <w:r>
              <w:rPr>
                <w:noProof/>
                <w:webHidden/>
              </w:rPr>
              <w:t>8</w:t>
            </w:r>
            <w:r w:rsidR="00856417">
              <w:rPr>
                <w:noProof/>
                <w:webHidden/>
              </w:rPr>
              <w:fldChar w:fldCharType="end"/>
            </w:r>
          </w:hyperlink>
        </w:p>
        <w:p w:rsidR="00856417" w:rsidRDefault="00495B38">
          <w:pPr>
            <w:pStyle w:val="TOC3"/>
            <w:tabs>
              <w:tab w:val="right" w:leader="dot" w:pos="9350"/>
            </w:tabs>
            <w:rPr>
              <w:noProof/>
            </w:rPr>
          </w:pPr>
          <w:hyperlink w:anchor="_Toc5285485" w:history="1">
            <w:r w:rsidR="00856417" w:rsidRPr="00466CD7">
              <w:rPr>
                <w:rStyle w:val="Hyperlink"/>
                <w:noProof/>
              </w:rPr>
              <w:t>Unitary Business Combined Filing</w:t>
            </w:r>
            <w:r w:rsidR="00856417">
              <w:rPr>
                <w:noProof/>
                <w:webHidden/>
              </w:rPr>
              <w:tab/>
            </w:r>
            <w:r w:rsidR="00856417">
              <w:rPr>
                <w:noProof/>
                <w:webHidden/>
              </w:rPr>
              <w:fldChar w:fldCharType="begin"/>
            </w:r>
            <w:r w:rsidR="00856417">
              <w:rPr>
                <w:noProof/>
                <w:webHidden/>
              </w:rPr>
              <w:instrText xml:space="preserve"> PAGEREF _Toc5285485 \h </w:instrText>
            </w:r>
            <w:r w:rsidR="00856417">
              <w:rPr>
                <w:noProof/>
                <w:webHidden/>
              </w:rPr>
            </w:r>
            <w:r w:rsidR="00856417">
              <w:rPr>
                <w:noProof/>
                <w:webHidden/>
              </w:rPr>
              <w:fldChar w:fldCharType="separate"/>
            </w:r>
            <w:r>
              <w:rPr>
                <w:noProof/>
                <w:webHidden/>
              </w:rPr>
              <w:t>8</w:t>
            </w:r>
            <w:r w:rsidR="00856417">
              <w:rPr>
                <w:noProof/>
                <w:webHidden/>
              </w:rPr>
              <w:fldChar w:fldCharType="end"/>
            </w:r>
          </w:hyperlink>
        </w:p>
        <w:p w:rsidR="00856417" w:rsidRDefault="00495B38">
          <w:pPr>
            <w:pStyle w:val="TOC3"/>
            <w:tabs>
              <w:tab w:val="right" w:leader="dot" w:pos="9350"/>
            </w:tabs>
            <w:rPr>
              <w:noProof/>
            </w:rPr>
          </w:pPr>
          <w:hyperlink w:anchor="_Toc5285486" w:history="1">
            <w:r w:rsidR="00856417" w:rsidRPr="00466CD7">
              <w:rPr>
                <w:rStyle w:val="Hyperlink"/>
                <w:noProof/>
              </w:rPr>
              <w:t>Veterinary Services for Poultry</w:t>
            </w:r>
            <w:r w:rsidR="00856417">
              <w:rPr>
                <w:noProof/>
                <w:webHidden/>
              </w:rPr>
              <w:tab/>
            </w:r>
            <w:r w:rsidR="00856417">
              <w:rPr>
                <w:noProof/>
                <w:webHidden/>
              </w:rPr>
              <w:fldChar w:fldCharType="begin"/>
            </w:r>
            <w:r w:rsidR="00856417">
              <w:rPr>
                <w:noProof/>
                <w:webHidden/>
              </w:rPr>
              <w:instrText xml:space="preserve"> PAGEREF _Toc5285486 \h </w:instrText>
            </w:r>
            <w:r w:rsidR="00856417">
              <w:rPr>
                <w:noProof/>
                <w:webHidden/>
              </w:rPr>
            </w:r>
            <w:r w:rsidR="00856417">
              <w:rPr>
                <w:noProof/>
                <w:webHidden/>
              </w:rPr>
              <w:fldChar w:fldCharType="separate"/>
            </w:r>
            <w:r>
              <w:rPr>
                <w:noProof/>
                <w:webHidden/>
              </w:rPr>
              <w:t>8</w:t>
            </w:r>
            <w:r w:rsidR="00856417">
              <w:rPr>
                <w:noProof/>
                <w:webHidden/>
              </w:rPr>
              <w:fldChar w:fldCharType="end"/>
            </w:r>
          </w:hyperlink>
        </w:p>
        <w:p w:rsidR="00856417" w:rsidRDefault="00495B38">
          <w:pPr>
            <w:pStyle w:val="TOC3"/>
            <w:tabs>
              <w:tab w:val="right" w:leader="dot" w:pos="9350"/>
            </w:tabs>
            <w:rPr>
              <w:noProof/>
            </w:rPr>
          </w:pPr>
          <w:hyperlink w:anchor="_Toc5285487" w:history="1">
            <w:r w:rsidR="00856417" w:rsidRPr="00466CD7">
              <w:rPr>
                <w:rStyle w:val="Hyperlink"/>
                <w:noProof/>
              </w:rPr>
              <w:t>Nonprofit Admissions and Fundraising Events</w:t>
            </w:r>
            <w:r w:rsidR="00856417">
              <w:rPr>
                <w:noProof/>
                <w:webHidden/>
              </w:rPr>
              <w:tab/>
            </w:r>
            <w:r w:rsidR="00856417">
              <w:rPr>
                <w:noProof/>
                <w:webHidden/>
              </w:rPr>
              <w:fldChar w:fldCharType="begin"/>
            </w:r>
            <w:r w:rsidR="00856417">
              <w:rPr>
                <w:noProof/>
                <w:webHidden/>
              </w:rPr>
              <w:instrText xml:space="preserve"> PAGEREF _Toc5285487 \h </w:instrText>
            </w:r>
            <w:r w:rsidR="00856417">
              <w:rPr>
                <w:noProof/>
                <w:webHidden/>
              </w:rPr>
            </w:r>
            <w:r w:rsidR="00856417">
              <w:rPr>
                <w:noProof/>
                <w:webHidden/>
              </w:rPr>
              <w:fldChar w:fldCharType="separate"/>
            </w:r>
            <w:r>
              <w:rPr>
                <w:noProof/>
                <w:webHidden/>
              </w:rPr>
              <w:t>9</w:t>
            </w:r>
            <w:r w:rsidR="00856417">
              <w:rPr>
                <w:noProof/>
                <w:webHidden/>
              </w:rPr>
              <w:fldChar w:fldCharType="end"/>
            </w:r>
          </w:hyperlink>
        </w:p>
        <w:p w:rsidR="00856417" w:rsidRDefault="00495B38">
          <w:pPr>
            <w:pStyle w:val="TOC3"/>
            <w:tabs>
              <w:tab w:val="right" w:leader="dot" w:pos="9350"/>
            </w:tabs>
            <w:rPr>
              <w:noProof/>
            </w:rPr>
          </w:pPr>
          <w:hyperlink w:anchor="_Toc5285488" w:history="1">
            <w:r w:rsidR="00856417" w:rsidRPr="00466CD7">
              <w:rPr>
                <w:rStyle w:val="Hyperlink"/>
                <w:noProof/>
              </w:rPr>
              <w:t>Corporation Consolidated Filing Election</w:t>
            </w:r>
            <w:r w:rsidR="00856417">
              <w:rPr>
                <w:noProof/>
                <w:webHidden/>
              </w:rPr>
              <w:tab/>
            </w:r>
            <w:r w:rsidR="00856417">
              <w:rPr>
                <w:noProof/>
                <w:webHidden/>
              </w:rPr>
              <w:fldChar w:fldCharType="begin"/>
            </w:r>
            <w:r w:rsidR="00856417">
              <w:rPr>
                <w:noProof/>
                <w:webHidden/>
              </w:rPr>
              <w:instrText xml:space="preserve"> PAGEREF _Toc5285488 \h </w:instrText>
            </w:r>
            <w:r w:rsidR="00856417">
              <w:rPr>
                <w:noProof/>
                <w:webHidden/>
              </w:rPr>
            </w:r>
            <w:r w:rsidR="00856417">
              <w:rPr>
                <w:noProof/>
                <w:webHidden/>
              </w:rPr>
              <w:fldChar w:fldCharType="separate"/>
            </w:r>
            <w:r>
              <w:rPr>
                <w:noProof/>
                <w:webHidden/>
              </w:rPr>
              <w:t>9</w:t>
            </w:r>
            <w:r w:rsidR="00856417">
              <w:rPr>
                <w:noProof/>
                <w:webHidden/>
              </w:rPr>
              <w:fldChar w:fldCharType="end"/>
            </w:r>
          </w:hyperlink>
        </w:p>
        <w:p w:rsidR="00856417" w:rsidRDefault="00495B38">
          <w:pPr>
            <w:pStyle w:val="TOC3"/>
            <w:tabs>
              <w:tab w:val="right" w:leader="dot" w:pos="9350"/>
            </w:tabs>
            <w:rPr>
              <w:noProof/>
            </w:rPr>
          </w:pPr>
          <w:hyperlink w:anchor="_Toc5285489" w:history="1">
            <w:r w:rsidR="00856417" w:rsidRPr="00466CD7">
              <w:rPr>
                <w:rStyle w:val="Hyperlink"/>
                <w:noProof/>
              </w:rPr>
              <w:t>Resale of Services Exemption</w:t>
            </w:r>
            <w:r w:rsidR="00856417">
              <w:rPr>
                <w:noProof/>
                <w:webHidden/>
              </w:rPr>
              <w:tab/>
            </w:r>
            <w:r w:rsidR="00856417">
              <w:rPr>
                <w:noProof/>
                <w:webHidden/>
              </w:rPr>
              <w:fldChar w:fldCharType="begin"/>
            </w:r>
            <w:r w:rsidR="00856417">
              <w:rPr>
                <w:noProof/>
                <w:webHidden/>
              </w:rPr>
              <w:instrText xml:space="preserve"> PAGEREF _Toc5285489 \h </w:instrText>
            </w:r>
            <w:r w:rsidR="00856417">
              <w:rPr>
                <w:noProof/>
                <w:webHidden/>
              </w:rPr>
            </w:r>
            <w:r w:rsidR="00856417">
              <w:rPr>
                <w:noProof/>
                <w:webHidden/>
              </w:rPr>
              <w:fldChar w:fldCharType="separate"/>
            </w:r>
            <w:r>
              <w:rPr>
                <w:noProof/>
                <w:webHidden/>
              </w:rPr>
              <w:t>9</w:t>
            </w:r>
            <w:r w:rsidR="00856417">
              <w:rPr>
                <w:noProof/>
                <w:webHidden/>
              </w:rPr>
              <w:fldChar w:fldCharType="end"/>
            </w:r>
          </w:hyperlink>
        </w:p>
        <w:p w:rsidR="00856417" w:rsidRDefault="00495B38">
          <w:pPr>
            <w:pStyle w:val="TOC3"/>
            <w:tabs>
              <w:tab w:val="right" w:leader="dot" w:pos="9350"/>
            </w:tabs>
            <w:rPr>
              <w:noProof/>
            </w:rPr>
          </w:pPr>
          <w:hyperlink w:anchor="_Toc5285490" w:history="1">
            <w:r w:rsidR="00856417" w:rsidRPr="00466CD7">
              <w:rPr>
                <w:rStyle w:val="Hyperlink"/>
                <w:noProof/>
              </w:rPr>
              <w:t>Direct Pay Authorization for Services</w:t>
            </w:r>
            <w:r w:rsidR="00856417">
              <w:rPr>
                <w:noProof/>
                <w:webHidden/>
              </w:rPr>
              <w:tab/>
            </w:r>
            <w:r w:rsidR="00856417">
              <w:rPr>
                <w:noProof/>
                <w:webHidden/>
              </w:rPr>
              <w:fldChar w:fldCharType="begin"/>
            </w:r>
            <w:r w:rsidR="00856417">
              <w:rPr>
                <w:noProof/>
                <w:webHidden/>
              </w:rPr>
              <w:instrText xml:space="preserve"> PAGEREF _Toc5285490 \h </w:instrText>
            </w:r>
            <w:r w:rsidR="00856417">
              <w:rPr>
                <w:noProof/>
                <w:webHidden/>
              </w:rPr>
            </w:r>
            <w:r w:rsidR="00856417">
              <w:rPr>
                <w:noProof/>
                <w:webHidden/>
              </w:rPr>
              <w:fldChar w:fldCharType="separate"/>
            </w:r>
            <w:r>
              <w:rPr>
                <w:noProof/>
                <w:webHidden/>
              </w:rPr>
              <w:t>9</w:t>
            </w:r>
            <w:r w:rsidR="00856417">
              <w:rPr>
                <w:noProof/>
                <w:webHidden/>
              </w:rPr>
              <w:fldChar w:fldCharType="end"/>
            </w:r>
          </w:hyperlink>
        </w:p>
        <w:p w:rsidR="00856417" w:rsidRDefault="00495B38">
          <w:pPr>
            <w:pStyle w:val="TOC3"/>
            <w:tabs>
              <w:tab w:val="right" w:leader="dot" w:pos="9350"/>
            </w:tabs>
            <w:rPr>
              <w:noProof/>
            </w:rPr>
          </w:pPr>
          <w:hyperlink w:anchor="_Toc5285491" w:history="1">
            <w:r w:rsidR="00856417" w:rsidRPr="00466CD7">
              <w:rPr>
                <w:rStyle w:val="Hyperlink"/>
                <w:i/>
                <w:noProof/>
              </w:rPr>
              <w:t>de Minimis</w:t>
            </w:r>
            <w:r w:rsidR="00856417" w:rsidRPr="00466CD7">
              <w:rPr>
                <w:rStyle w:val="Hyperlink"/>
                <w:noProof/>
              </w:rPr>
              <w:t xml:space="preserve"> Sales Tax Standard for Services</w:t>
            </w:r>
            <w:r w:rsidR="00856417">
              <w:rPr>
                <w:noProof/>
                <w:webHidden/>
              </w:rPr>
              <w:tab/>
            </w:r>
            <w:r w:rsidR="00856417">
              <w:rPr>
                <w:noProof/>
                <w:webHidden/>
              </w:rPr>
              <w:fldChar w:fldCharType="begin"/>
            </w:r>
            <w:r w:rsidR="00856417">
              <w:rPr>
                <w:noProof/>
                <w:webHidden/>
              </w:rPr>
              <w:instrText xml:space="preserve"> PAGEREF _Toc5285491 \h </w:instrText>
            </w:r>
            <w:r w:rsidR="00856417">
              <w:rPr>
                <w:noProof/>
                <w:webHidden/>
              </w:rPr>
            </w:r>
            <w:r w:rsidR="00856417">
              <w:rPr>
                <w:noProof/>
                <w:webHidden/>
              </w:rPr>
              <w:fldChar w:fldCharType="separate"/>
            </w:r>
            <w:r>
              <w:rPr>
                <w:noProof/>
                <w:webHidden/>
              </w:rPr>
              <w:t>9</w:t>
            </w:r>
            <w:r w:rsidR="00856417">
              <w:rPr>
                <w:noProof/>
                <w:webHidden/>
              </w:rPr>
              <w:fldChar w:fldCharType="end"/>
            </w:r>
          </w:hyperlink>
        </w:p>
        <w:p w:rsidR="00856417" w:rsidRDefault="00495B38">
          <w:pPr>
            <w:pStyle w:val="TOC1"/>
            <w:tabs>
              <w:tab w:val="right" w:leader="dot" w:pos="9350"/>
            </w:tabs>
            <w:rPr>
              <w:noProof/>
            </w:rPr>
          </w:pPr>
          <w:hyperlink w:anchor="_Toc5285492" w:history="1">
            <w:r w:rsidR="00856417" w:rsidRPr="00466CD7">
              <w:rPr>
                <w:rStyle w:val="Hyperlink"/>
                <w:b/>
                <w:noProof/>
              </w:rPr>
              <w:t>Administrative Efficiency</w:t>
            </w:r>
            <w:r w:rsidR="00856417">
              <w:rPr>
                <w:noProof/>
                <w:webHidden/>
              </w:rPr>
              <w:tab/>
            </w:r>
            <w:r w:rsidR="00856417">
              <w:rPr>
                <w:noProof/>
                <w:webHidden/>
              </w:rPr>
              <w:fldChar w:fldCharType="begin"/>
            </w:r>
            <w:r w:rsidR="00856417">
              <w:rPr>
                <w:noProof/>
                <w:webHidden/>
              </w:rPr>
              <w:instrText xml:space="preserve"> PAGEREF _Toc5285492 \h </w:instrText>
            </w:r>
            <w:r w:rsidR="00856417">
              <w:rPr>
                <w:noProof/>
                <w:webHidden/>
              </w:rPr>
            </w:r>
            <w:r w:rsidR="00856417">
              <w:rPr>
                <w:noProof/>
                <w:webHidden/>
              </w:rPr>
              <w:fldChar w:fldCharType="separate"/>
            </w:r>
            <w:r>
              <w:rPr>
                <w:noProof/>
                <w:webHidden/>
              </w:rPr>
              <w:t>10</w:t>
            </w:r>
            <w:r w:rsidR="00856417">
              <w:rPr>
                <w:noProof/>
                <w:webHidden/>
              </w:rPr>
              <w:fldChar w:fldCharType="end"/>
            </w:r>
          </w:hyperlink>
        </w:p>
        <w:p w:rsidR="00856417" w:rsidRDefault="00495B38">
          <w:pPr>
            <w:pStyle w:val="TOC2"/>
            <w:tabs>
              <w:tab w:val="right" w:leader="dot" w:pos="9350"/>
            </w:tabs>
            <w:rPr>
              <w:noProof/>
            </w:rPr>
          </w:pPr>
          <w:hyperlink w:anchor="_Toc5285493" w:history="1">
            <w:r w:rsidR="00856417" w:rsidRPr="00466CD7">
              <w:rPr>
                <w:rStyle w:val="Hyperlink"/>
                <w:noProof/>
              </w:rPr>
              <w:t>Providing Clarity</w:t>
            </w:r>
            <w:r w:rsidR="00856417">
              <w:rPr>
                <w:noProof/>
                <w:webHidden/>
              </w:rPr>
              <w:tab/>
            </w:r>
            <w:r w:rsidR="00856417">
              <w:rPr>
                <w:noProof/>
                <w:webHidden/>
              </w:rPr>
              <w:fldChar w:fldCharType="begin"/>
            </w:r>
            <w:r w:rsidR="00856417">
              <w:rPr>
                <w:noProof/>
                <w:webHidden/>
              </w:rPr>
              <w:instrText xml:space="preserve"> PAGEREF _Toc5285493 \h </w:instrText>
            </w:r>
            <w:r w:rsidR="00856417">
              <w:rPr>
                <w:noProof/>
                <w:webHidden/>
              </w:rPr>
            </w:r>
            <w:r w:rsidR="00856417">
              <w:rPr>
                <w:noProof/>
                <w:webHidden/>
              </w:rPr>
              <w:fldChar w:fldCharType="separate"/>
            </w:r>
            <w:r>
              <w:rPr>
                <w:noProof/>
                <w:webHidden/>
              </w:rPr>
              <w:t>10</w:t>
            </w:r>
            <w:r w:rsidR="00856417">
              <w:rPr>
                <w:noProof/>
                <w:webHidden/>
              </w:rPr>
              <w:fldChar w:fldCharType="end"/>
            </w:r>
          </w:hyperlink>
        </w:p>
        <w:p w:rsidR="00856417" w:rsidRDefault="00495B38">
          <w:pPr>
            <w:pStyle w:val="TOC3"/>
            <w:tabs>
              <w:tab w:val="right" w:leader="dot" w:pos="9350"/>
            </w:tabs>
            <w:rPr>
              <w:noProof/>
            </w:rPr>
          </w:pPr>
          <w:hyperlink w:anchor="_Toc5285494" w:history="1">
            <w:r w:rsidR="00856417" w:rsidRPr="00466CD7">
              <w:rPr>
                <w:rStyle w:val="Hyperlink"/>
                <w:noProof/>
              </w:rPr>
              <w:t>Internal Revenue Code Reference Date</w:t>
            </w:r>
            <w:r w:rsidR="00856417">
              <w:rPr>
                <w:noProof/>
                <w:webHidden/>
              </w:rPr>
              <w:tab/>
            </w:r>
            <w:r w:rsidR="00856417">
              <w:rPr>
                <w:noProof/>
                <w:webHidden/>
              </w:rPr>
              <w:fldChar w:fldCharType="begin"/>
            </w:r>
            <w:r w:rsidR="00856417">
              <w:rPr>
                <w:noProof/>
                <w:webHidden/>
              </w:rPr>
              <w:instrText xml:space="preserve"> PAGEREF _Toc5285494 \h </w:instrText>
            </w:r>
            <w:r w:rsidR="00856417">
              <w:rPr>
                <w:noProof/>
                <w:webHidden/>
              </w:rPr>
            </w:r>
            <w:r w:rsidR="00856417">
              <w:rPr>
                <w:noProof/>
                <w:webHidden/>
              </w:rPr>
              <w:fldChar w:fldCharType="separate"/>
            </w:r>
            <w:r>
              <w:rPr>
                <w:noProof/>
                <w:webHidden/>
              </w:rPr>
              <w:t>10</w:t>
            </w:r>
            <w:r w:rsidR="00856417">
              <w:rPr>
                <w:noProof/>
                <w:webHidden/>
              </w:rPr>
              <w:fldChar w:fldCharType="end"/>
            </w:r>
          </w:hyperlink>
        </w:p>
        <w:p w:rsidR="00856417" w:rsidRDefault="00495B38">
          <w:pPr>
            <w:pStyle w:val="TOC3"/>
            <w:tabs>
              <w:tab w:val="right" w:leader="dot" w:pos="9350"/>
            </w:tabs>
            <w:rPr>
              <w:noProof/>
            </w:rPr>
          </w:pPr>
          <w:hyperlink w:anchor="_Toc5285495" w:history="1">
            <w:r w:rsidR="00856417" w:rsidRPr="00466CD7">
              <w:rPr>
                <w:rStyle w:val="Hyperlink"/>
                <w:noProof/>
              </w:rPr>
              <w:t>Military Active Duty Training</w:t>
            </w:r>
            <w:r w:rsidR="00856417">
              <w:rPr>
                <w:noProof/>
                <w:webHidden/>
              </w:rPr>
              <w:tab/>
            </w:r>
            <w:r w:rsidR="00856417">
              <w:rPr>
                <w:noProof/>
                <w:webHidden/>
              </w:rPr>
              <w:fldChar w:fldCharType="begin"/>
            </w:r>
            <w:r w:rsidR="00856417">
              <w:rPr>
                <w:noProof/>
                <w:webHidden/>
              </w:rPr>
              <w:instrText xml:space="preserve"> PAGEREF _Toc5285495 \h </w:instrText>
            </w:r>
            <w:r w:rsidR="00856417">
              <w:rPr>
                <w:noProof/>
                <w:webHidden/>
              </w:rPr>
            </w:r>
            <w:r w:rsidR="00856417">
              <w:rPr>
                <w:noProof/>
                <w:webHidden/>
              </w:rPr>
              <w:fldChar w:fldCharType="separate"/>
            </w:r>
            <w:r>
              <w:rPr>
                <w:noProof/>
                <w:webHidden/>
              </w:rPr>
              <w:t>10</w:t>
            </w:r>
            <w:r w:rsidR="00856417">
              <w:rPr>
                <w:noProof/>
                <w:webHidden/>
              </w:rPr>
              <w:fldChar w:fldCharType="end"/>
            </w:r>
          </w:hyperlink>
        </w:p>
        <w:p w:rsidR="00856417" w:rsidRDefault="00495B38">
          <w:pPr>
            <w:pStyle w:val="TOC3"/>
            <w:tabs>
              <w:tab w:val="right" w:leader="dot" w:pos="9350"/>
            </w:tabs>
            <w:rPr>
              <w:noProof/>
            </w:rPr>
          </w:pPr>
          <w:hyperlink w:anchor="_Toc5285496" w:history="1">
            <w:r w:rsidR="00856417" w:rsidRPr="00466CD7">
              <w:rPr>
                <w:rStyle w:val="Hyperlink"/>
                <w:noProof/>
              </w:rPr>
              <w:t>25% or 75% Recycling Credit Limitations</w:t>
            </w:r>
            <w:r w:rsidR="00856417">
              <w:rPr>
                <w:noProof/>
                <w:webHidden/>
              </w:rPr>
              <w:tab/>
            </w:r>
            <w:r w:rsidR="00856417">
              <w:rPr>
                <w:noProof/>
                <w:webHidden/>
              </w:rPr>
              <w:fldChar w:fldCharType="begin"/>
            </w:r>
            <w:r w:rsidR="00856417">
              <w:rPr>
                <w:noProof/>
                <w:webHidden/>
              </w:rPr>
              <w:instrText xml:space="preserve"> PAGEREF _Toc5285496 \h </w:instrText>
            </w:r>
            <w:r w:rsidR="00856417">
              <w:rPr>
                <w:noProof/>
                <w:webHidden/>
              </w:rPr>
            </w:r>
            <w:r w:rsidR="00856417">
              <w:rPr>
                <w:noProof/>
                <w:webHidden/>
              </w:rPr>
              <w:fldChar w:fldCharType="separate"/>
            </w:r>
            <w:r>
              <w:rPr>
                <w:noProof/>
                <w:webHidden/>
              </w:rPr>
              <w:t>10</w:t>
            </w:r>
            <w:r w:rsidR="00856417">
              <w:rPr>
                <w:noProof/>
                <w:webHidden/>
              </w:rPr>
              <w:fldChar w:fldCharType="end"/>
            </w:r>
          </w:hyperlink>
        </w:p>
        <w:p w:rsidR="00856417" w:rsidRDefault="00495B38">
          <w:pPr>
            <w:pStyle w:val="TOC3"/>
            <w:tabs>
              <w:tab w:val="right" w:leader="dot" w:pos="9350"/>
            </w:tabs>
            <w:rPr>
              <w:noProof/>
            </w:rPr>
          </w:pPr>
          <w:hyperlink w:anchor="_Toc5285497" w:history="1">
            <w:r w:rsidR="00856417" w:rsidRPr="00466CD7">
              <w:rPr>
                <w:rStyle w:val="Hyperlink"/>
                <w:noProof/>
              </w:rPr>
              <w:t>Limited Liability Entity Tax (LLET) $175 Minimum</w:t>
            </w:r>
            <w:r w:rsidR="00856417">
              <w:rPr>
                <w:noProof/>
                <w:webHidden/>
              </w:rPr>
              <w:tab/>
            </w:r>
            <w:r w:rsidR="00856417">
              <w:rPr>
                <w:noProof/>
                <w:webHidden/>
              </w:rPr>
              <w:fldChar w:fldCharType="begin"/>
            </w:r>
            <w:r w:rsidR="00856417">
              <w:rPr>
                <w:noProof/>
                <w:webHidden/>
              </w:rPr>
              <w:instrText xml:space="preserve"> PAGEREF _Toc5285497 \h </w:instrText>
            </w:r>
            <w:r w:rsidR="00856417">
              <w:rPr>
                <w:noProof/>
                <w:webHidden/>
              </w:rPr>
            </w:r>
            <w:r w:rsidR="00856417">
              <w:rPr>
                <w:noProof/>
                <w:webHidden/>
              </w:rPr>
              <w:fldChar w:fldCharType="separate"/>
            </w:r>
            <w:r>
              <w:rPr>
                <w:noProof/>
                <w:webHidden/>
              </w:rPr>
              <w:t>10</w:t>
            </w:r>
            <w:r w:rsidR="00856417">
              <w:rPr>
                <w:noProof/>
                <w:webHidden/>
              </w:rPr>
              <w:fldChar w:fldCharType="end"/>
            </w:r>
          </w:hyperlink>
        </w:p>
        <w:p w:rsidR="00856417" w:rsidRDefault="00495B38">
          <w:pPr>
            <w:pStyle w:val="TOC2"/>
            <w:tabs>
              <w:tab w:val="right" w:leader="dot" w:pos="9350"/>
            </w:tabs>
            <w:rPr>
              <w:noProof/>
            </w:rPr>
          </w:pPr>
          <w:hyperlink w:anchor="_Toc5285498" w:history="1">
            <w:r w:rsidR="00856417" w:rsidRPr="00466CD7">
              <w:rPr>
                <w:rStyle w:val="Hyperlink"/>
                <w:noProof/>
              </w:rPr>
              <w:t>Tax Administration</w:t>
            </w:r>
            <w:r w:rsidR="00856417">
              <w:rPr>
                <w:noProof/>
                <w:webHidden/>
              </w:rPr>
              <w:tab/>
            </w:r>
            <w:r w:rsidR="00856417">
              <w:rPr>
                <w:noProof/>
                <w:webHidden/>
              </w:rPr>
              <w:fldChar w:fldCharType="begin"/>
            </w:r>
            <w:r w:rsidR="00856417">
              <w:rPr>
                <w:noProof/>
                <w:webHidden/>
              </w:rPr>
              <w:instrText xml:space="preserve"> PAGEREF _Toc5285498 \h </w:instrText>
            </w:r>
            <w:r w:rsidR="00856417">
              <w:rPr>
                <w:noProof/>
                <w:webHidden/>
              </w:rPr>
            </w:r>
            <w:r w:rsidR="00856417">
              <w:rPr>
                <w:noProof/>
                <w:webHidden/>
              </w:rPr>
              <w:fldChar w:fldCharType="separate"/>
            </w:r>
            <w:r>
              <w:rPr>
                <w:noProof/>
                <w:webHidden/>
              </w:rPr>
              <w:t>11</w:t>
            </w:r>
            <w:r w:rsidR="00856417">
              <w:rPr>
                <w:noProof/>
                <w:webHidden/>
              </w:rPr>
              <w:fldChar w:fldCharType="end"/>
            </w:r>
          </w:hyperlink>
        </w:p>
        <w:p w:rsidR="00856417" w:rsidRDefault="00495B38">
          <w:pPr>
            <w:pStyle w:val="TOC3"/>
            <w:tabs>
              <w:tab w:val="right" w:leader="dot" w:pos="9350"/>
            </w:tabs>
            <w:rPr>
              <w:noProof/>
            </w:rPr>
          </w:pPr>
          <w:hyperlink w:anchor="_Toc5285499" w:history="1">
            <w:r w:rsidR="00856417" w:rsidRPr="00466CD7">
              <w:rPr>
                <w:rStyle w:val="Hyperlink"/>
                <w:noProof/>
              </w:rPr>
              <w:t>Property Tax Protest Periods</w:t>
            </w:r>
            <w:r w:rsidR="00856417">
              <w:rPr>
                <w:noProof/>
                <w:webHidden/>
              </w:rPr>
              <w:tab/>
            </w:r>
            <w:r w:rsidR="00856417">
              <w:rPr>
                <w:noProof/>
                <w:webHidden/>
              </w:rPr>
              <w:fldChar w:fldCharType="begin"/>
            </w:r>
            <w:r w:rsidR="00856417">
              <w:rPr>
                <w:noProof/>
                <w:webHidden/>
              </w:rPr>
              <w:instrText xml:space="preserve"> PAGEREF _Toc5285499 \h </w:instrText>
            </w:r>
            <w:r w:rsidR="00856417">
              <w:rPr>
                <w:noProof/>
                <w:webHidden/>
              </w:rPr>
            </w:r>
            <w:r w:rsidR="00856417">
              <w:rPr>
                <w:noProof/>
                <w:webHidden/>
              </w:rPr>
              <w:fldChar w:fldCharType="separate"/>
            </w:r>
            <w:r>
              <w:rPr>
                <w:noProof/>
                <w:webHidden/>
              </w:rPr>
              <w:t>11</w:t>
            </w:r>
            <w:r w:rsidR="00856417">
              <w:rPr>
                <w:noProof/>
                <w:webHidden/>
              </w:rPr>
              <w:fldChar w:fldCharType="end"/>
            </w:r>
          </w:hyperlink>
        </w:p>
        <w:p w:rsidR="00856417" w:rsidRDefault="00495B38">
          <w:pPr>
            <w:pStyle w:val="TOC3"/>
            <w:tabs>
              <w:tab w:val="right" w:leader="dot" w:pos="9350"/>
            </w:tabs>
            <w:rPr>
              <w:noProof/>
            </w:rPr>
          </w:pPr>
          <w:hyperlink w:anchor="_Toc5285500" w:history="1">
            <w:r w:rsidR="00856417" w:rsidRPr="00466CD7">
              <w:rPr>
                <w:rStyle w:val="Hyperlink"/>
                <w:noProof/>
              </w:rPr>
              <w:t>LLET Statute of Limitations Extension</w:t>
            </w:r>
            <w:r w:rsidR="00856417">
              <w:rPr>
                <w:noProof/>
                <w:webHidden/>
              </w:rPr>
              <w:tab/>
            </w:r>
            <w:r w:rsidR="00856417">
              <w:rPr>
                <w:noProof/>
                <w:webHidden/>
              </w:rPr>
              <w:fldChar w:fldCharType="begin"/>
            </w:r>
            <w:r w:rsidR="00856417">
              <w:rPr>
                <w:noProof/>
                <w:webHidden/>
              </w:rPr>
              <w:instrText xml:space="preserve"> PAGEREF _Toc5285500 \h </w:instrText>
            </w:r>
            <w:r w:rsidR="00856417">
              <w:rPr>
                <w:noProof/>
                <w:webHidden/>
              </w:rPr>
            </w:r>
            <w:r w:rsidR="00856417">
              <w:rPr>
                <w:noProof/>
                <w:webHidden/>
              </w:rPr>
              <w:fldChar w:fldCharType="separate"/>
            </w:r>
            <w:r>
              <w:rPr>
                <w:noProof/>
                <w:webHidden/>
              </w:rPr>
              <w:t>11</w:t>
            </w:r>
            <w:r w:rsidR="00856417">
              <w:rPr>
                <w:noProof/>
                <w:webHidden/>
              </w:rPr>
              <w:fldChar w:fldCharType="end"/>
            </w:r>
          </w:hyperlink>
        </w:p>
        <w:p w:rsidR="00856417" w:rsidRDefault="00495B38">
          <w:pPr>
            <w:pStyle w:val="TOC3"/>
            <w:tabs>
              <w:tab w:val="right" w:leader="dot" w:pos="9350"/>
            </w:tabs>
            <w:rPr>
              <w:noProof/>
            </w:rPr>
          </w:pPr>
          <w:hyperlink w:anchor="_Toc5285501" w:history="1">
            <w:r w:rsidR="00856417" w:rsidRPr="00466CD7">
              <w:rPr>
                <w:rStyle w:val="Hyperlink"/>
                <w:noProof/>
              </w:rPr>
              <w:t>Corporation Due Date for Extended Returns</w:t>
            </w:r>
            <w:r w:rsidR="00856417">
              <w:rPr>
                <w:noProof/>
                <w:webHidden/>
              </w:rPr>
              <w:tab/>
            </w:r>
            <w:r w:rsidR="00856417">
              <w:rPr>
                <w:noProof/>
                <w:webHidden/>
              </w:rPr>
              <w:fldChar w:fldCharType="begin"/>
            </w:r>
            <w:r w:rsidR="00856417">
              <w:rPr>
                <w:noProof/>
                <w:webHidden/>
              </w:rPr>
              <w:instrText xml:space="preserve"> PAGEREF _Toc5285501 \h </w:instrText>
            </w:r>
            <w:r w:rsidR="00856417">
              <w:rPr>
                <w:noProof/>
                <w:webHidden/>
              </w:rPr>
            </w:r>
            <w:r w:rsidR="00856417">
              <w:rPr>
                <w:noProof/>
                <w:webHidden/>
              </w:rPr>
              <w:fldChar w:fldCharType="separate"/>
            </w:r>
            <w:r>
              <w:rPr>
                <w:noProof/>
                <w:webHidden/>
              </w:rPr>
              <w:t>11</w:t>
            </w:r>
            <w:r w:rsidR="00856417">
              <w:rPr>
                <w:noProof/>
                <w:webHidden/>
              </w:rPr>
              <w:fldChar w:fldCharType="end"/>
            </w:r>
          </w:hyperlink>
        </w:p>
        <w:p w:rsidR="00856417" w:rsidRDefault="00495B38">
          <w:pPr>
            <w:pStyle w:val="TOC3"/>
            <w:tabs>
              <w:tab w:val="right" w:leader="dot" w:pos="9350"/>
            </w:tabs>
            <w:rPr>
              <w:noProof/>
            </w:rPr>
          </w:pPr>
          <w:hyperlink w:anchor="_Toc5285502" w:history="1">
            <w:r w:rsidR="00856417" w:rsidRPr="00466CD7">
              <w:rPr>
                <w:rStyle w:val="Hyperlink"/>
                <w:noProof/>
              </w:rPr>
              <w:t>Taxpayer Information Disclosure Criminal Penalties</w:t>
            </w:r>
            <w:r w:rsidR="00856417">
              <w:rPr>
                <w:noProof/>
                <w:webHidden/>
              </w:rPr>
              <w:tab/>
            </w:r>
            <w:r w:rsidR="00856417">
              <w:rPr>
                <w:noProof/>
                <w:webHidden/>
              </w:rPr>
              <w:fldChar w:fldCharType="begin"/>
            </w:r>
            <w:r w:rsidR="00856417">
              <w:rPr>
                <w:noProof/>
                <w:webHidden/>
              </w:rPr>
              <w:instrText xml:space="preserve"> PAGEREF _Toc5285502 \h </w:instrText>
            </w:r>
            <w:r w:rsidR="00856417">
              <w:rPr>
                <w:noProof/>
                <w:webHidden/>
              </w:rPr>
            </w:r>
            <w:r w:rsidR="00856417">
              <w:rPr>
                <w:noProof/>
                <w:webHidden/>
              </w:rPr>
              <w:fldChar w:fldCharType="separate"/>
            </w:r>
            <w:r>
              <w:rPr>
                <w:noProof/>
                <w:webHidden/>
              </w:rPr>
              <w:t>11</w:t>
            </w:r>
            <w:r w:rsidR="00856417">
              <w:rPr>
                <w:noProof/>
                <w:webHidden/>
              </w:rPr>
              <w:fldChar w:fldCharType="end"/>
            </w:r>
          </w:hyperlink>
        </w:p>
        <w:p w:rsidR="00856417" w:rsidRDefault="00495B38">
          <w:pPr>
            <w:pStyle w:val="TOC3"/>
            <w:tabs>
              <w:tab w:val="right" w:leader="dot" w:pos="9350"/>
            </w:tabs>
            <w:rPr>
              <w:noProof/>
            </w:rPr>
          </w:pPr>
          <w:hyperlink w:anchor="_Toc5285503" w:history="1">
            <w:r w:rsidR="00856417" w:rsidRPr="00466CD7">
              <w:rPr>
                <w:rStyle w:val="Hyperlink"/>
                <w:noProof/>
              </w:rPr>
              <w:t>Wholesale Tax on Small Wineries</w:t>
            </w:r>
            <w:r w:rsidR="00856417">
              <w:rPr>
                <w:noProof/>
                <w:webHidden/>
              </w:rPr>
              <w:tab/>
            </w:r>
            <w:r w:rsidR="00856417">
              <w:rPr>
                <w:noProof/>
                <w:webHidden/>
              </w:rPr>
              <w:fldChar w:fldCharType="begin"/>
            </w:r>
            <w:r w:rsidR="00856417">
              <w:rPr>
                <w:noProof/>
                <w:webHidden/>
              </w:rPr>
              <w:instrText xml:space="preserve"> PAGEREF _Toc5285503 \h </w:instrText>
            </w:r>
            <w:r w:rsidR="00856417">
              <w:rPr>
                <w:noProof/>
                <w:webHidden/>
              </w:rPr>
            </w:r>
            <w:r w:rsidR="00856417">
              <w:rPr>
                <w:noProof/>
                <w:webHidden/>
              </w:rPr>
              <w:fldChar w:fldCharType="separate"/>
            </w:r>
            <w:r>
              <w:rPr>
                <w:noProof/>
                <w:webHidden/>
              </w:rPr>
              <w:t>11</w:t>
            </w:r>
            <w:r w:rsidR="00856417">
              <w:rPr>
                <w:noProof/>
                <w:webHidden/>
              </w:rPr>
              <w:fldChar w:fldCharType="end"/>
            </w:r>
          </w:hyperlink>
        </w:p>
        <w:p w:rsidR="00856417" w:rsidRDefault="00495B38">
          <w:pPr>
            <w:pStyle w:val="TOC2"/>
            <w:tabs>
              <w:tab w:val="right" w:leader="dot" w:pos="9350"/>
            </w:tabs>
            <w:rPr>
              <w:noProof/>
            </w:rPr>
          </w:pPr>
          <w:hyperlink w:anchor="_Toc5285504" w:history="1">
            <w:r w:rsidR="00856417" w:rsidRPr="00466CD7">
              <w:rPr>
                <w:rStyle w:val="Hyperlink"/>
                <w:noProof/>
              </w:rPr>
              <w:t>Tax Fairness</w:t>
            </w:r>
            <w:r w:rsidR="00856417">
              <w:rPr>
                <w:noProof/>
                <w:webHidden/>
              </w:rPr>
              <w:tab/>
            </w:r>
            <w:r w:rsidR="00856417">
              <w:rPr>
                <w:noProof/>
                <w:webHidden/>
              </w:rPr>
              <w:fldChar w:fldCharType="begin"/>
            </w:r>
            <w:r w:rsidR="00856417">
              <w:rPr>
                <w:noProof/>
                <w:webHidden/>
              </w:rPr>
              <w:instrText xml:space="preserve"> PAGEREF _Toc5285504 \h </w:instrText>
            </w:r>
            <w:r w:rsidR="00856417">
              <w:rPr>
                <w:noProof/>
                <w:webHidden/>
              </w:rPr>
            </w:r>
            <w:r w:rsidR="00856417">
              <w:rPr>
                <w:noProof/>
                <w:webHidden/>
              </w:rPr>
              <w:fldChar w:fldCharType="separate"/>
            </w:r>
            <w:r>
              <w:rPr>
                <w:noProof/>
                <w:webHidden/>
              </w:rPr>
              <w:t>12</w:t>
            </w:r>
            <w:r w:rsidR="00856417">
              <w:rPr>
                <w:noProof/>
                <w:webHidden/>
              </w:rPr>
              <w:fldChar w:fldCharType="end"/>
            </w:r>
          </w:hyperlink>
        </w:p>
        <w:p w:rsidR="00856417" w:rsidRDefault="00495B38">
          <w:pPr>
            <w:pStyle w:val="TOC3"/>
            <w:tabs>
              <w:tab w:val="right" w:leader="dot" w:pos="9350"/>
            </w:tabs>
            <w:rPr>
              <w:noProof/>
            </w:rPr>
          </w:pPr>
          <w:hyperlink w:anchor="_Toc5285505" w:history="1">
            <w:r w:rsidR="00856417" w:rsidRPr="00466CD7">
              <w:rPr>
                <w:rStyle w:val="Hyperlink"/>
                <w:noProof/>
              </w:rPr>
              <w:t>Multichannel Video Programming Clarification</w:t>
            </w:r>
            <w:r w:rsidR="00856417">
              <w:rPr>
                <w:noProof/>
                <w:webHidden/>
              </w:rPr>
              <w:tab/>
            </w:r>
            <w:r w:rsidR="00856417">
              <w:rPr>
                <w:noProof/>
                <w:webHidden/>
              </w:rPr>
              <w:fldChar w:fldCharType="begin"/>
            </w:r>
            <w:r w:rsidR="00856417">
              <w:rPr>
                <w:noProof/>
                <w:webHidden/>
              </w:rPr>
              <w:instrText xml:space="preserve"> PAGEREF _Toc5285505 \h </w:instrText>
            </w:r>
            <w:r w:rsidR="00856417">
              <w:rPr>
                <w:noProof/>
                <w:webHidden/>
              </w:rPr>
            </w:r>
            <w:r w:rsidR="00856417">
              <w:rPr>
                <w:noProof/>
                <w:webHidden/>
              </w:rPr>
              <w:fldChar w:fldCharType="separate"/>
            </w:r>
            <w:r>
              <w:rPr>
                <w:noProof/>
                <w:webHidden/>
              </w:rPr>
              <w:t>12</w:t>
            </w:r>
            <w:r w:rsidR="00856417">
              <w:rPr>
                <w:noProof/>
                <w:webHidden/>
              </w:rPr>
              <w:fldChar w:fldCharType="end"/>
            </w:r>
          </w:hyperlink>
        </w:p>
        <w:p w:rsidR="00856417" w:rsidRDefault="00495B38">
          <w:pPr>
            <w:pStyle w:val="TOC2"/>
            <w:tabs>
              <w:tab w:val="right" w:leader="dot" w:pos="9350"/>
            </w:tabs>
            <w:rPr>
              <w:noProof/>
            </w:rPr>
          </w:pPr>
          <w:hyperlink w:anchor="_Toc5285506" w:history="1">
            <w:r w:rsidR="00856417" w:rsidRPr="00466CD7">
              <w:rPr>
                <w:rStyle w:val="Hyperlink"/>
                <w:noProof/>
              </w:rPr>
              <w:t>Other Items</w:t>
            </w:r>
            <w:r w:rsidR="00856417">
              <w:rPr>
                <w:noProof/>
                <w:webHidden/>
              </w:rPr>
              <w:tab/>
            </w:r>
            <w:r w:rsidR="00856417">
              <w:rPr>
                <w:noProof/>
                <w:webHidden/>
              </w:rPr>
              <w:fldChar w:fldCharType="begin"/>
            </w:r>
            <w:r w:rsidR="00856417">
              <w:rPr>
                <w:noProof/>
                <w:webHidden/>
              </w:rPr>
              <w:instrText xml:space="preserve"> PAGEREF _Toc5285506 \h </w:instrText>
            </w:r>
            <w:r w:rsidR="00856417">
              <w:rPr>
                <w:noProof/>
                <w:webHidden/>
              </w:rPr>
            </w:r>
            <w:r w:rsidR="00856417">
              <w:rPr>
                <w:noProof/>
                <w:webHidden/>
              </w:rPr>
              <w:fldChar w:fldCharType="separate"/>
            </w:r>
            <w:r>
              <w:rPr>
                <w:noProof/>
                <w:webHidden/>
              </w:rPr>
              <w:t>12</w:t>
            </w:r>
            <w:r w:rsidR="00856417">
              <w:rPr>
                <w:noProof/>
                <w:webHidden/>
              </w:rPr>
              <w:fldChar w:fldCharType="end"/>
            </w:r>
          </w:hyperlink>
        </w:p>
        <w:p w:rsidR="006E5925" w:rsidRDefault="006E5925">
          <w:r>
            <w:rPr>
              <w:b/>
              <w:bCs/>
              <w:noProof/>
            </w:rPr>
            <w:fldChar w:fldCharType="end"/>
          </w:r>
        </w:p>
      </w:sdtContent>
    </w:sdt>
    <w:p w:rsidR="00B30011" w:rsidRPr="00B30011" w:rsidRDefault="00B30011" w:rsidP="006E5925">
      <w:pPr>
        <w:rPr>
          <w:rFonts w:asciiTheme="majorHAnsi" w:hAnsiTheme="majorHAnsi" w:cs="Arial"/>
          <w:b/>
          <w:sz w:val="24"/>
          <w:szCs w:val="24"/>
        </w:rPr>
      </w:pPr>
      <w:r w:rsidRPr="00B30011">
        <w:rPr>
          <w:rFonts w:asciiTheme="majorHAnsi" w:hAnsiTheme="majorHAnsi" w:cs="Arial"/>
          <w:b/>
          <w:sz w:val="24"/>
          <w:szCs w:val="24"/>
        </w:rPr>
        <w:br w:type="page"/>
      </w:r>
    </w:p>
    <w:p w:rsidR="00FE4786" w:rsidRPr="00E16D19" w:rsidRDefault="00B30011" w:rsidP="00EA3EC4">
      <w:pPr>
        <w:pStyle w:val="Heading1"/>
        <w:jc w:val="center"/>
        <w:rPr>
          <w:b/>
        </w:rPr>
      </w:pPr>
      <w:bookmarkStart w:id="1" w:name="_Toc5285463"/>
      <w:r w:rsidRPr="00E16D19">
        <w:rPr>
          <w:b/>
        </w:rPr>
        <w:lastRenderedPageBreak/>
        <w:t xml:space="preserve">Continued </w:t>
      </w:r>
      <w:r w:rsidR="00EA3EC4" w:rsidRPr="00E16D19">
        <w:rPr>
          <w:b/>
        </w:rPr>
        <w:t xml:space="preserve">Tax </w:t>
      </w:r>
      <w:r w:rsidRPr="00E16D19">
        <w:rPr>
          <w:b/>
        </w:rPr>
        <w:t>Reform</w:t>
      </w:r>
      <w:bookmarkEnd w:id="1"/>
    </w:p>
    <w:p w:rsidR="00EA3EC4" w:rsidRPr="00EA3EC4" w:rsidRDefault="00EA3EC4" w:rsidP="00EA3EC4"/>
    <w:p w:rsidR="00B30011" w:rsidRDefault="003F23F1" w:rsidP="003F23F1">
      <w:pPr>
        <w:jc w:val="both"/>
        <w:rPr>
          <w:sz w:val="24"/>
          <w:szCs w:val="24"/>
        </w:rPr>
      </w:pPr>
      <w:r w:rsidRPr="003F23F1">
        <w:rPr>
          <w:sz w:val="24"/>
          <w:szCs w:val="24"/>
        </w:rPr>
        <w:t xml:space="preserve">HB 487 from the 2018 </w:t>
      </w:r>
      <w:r w:rsidR="00591457">
        <w:rPr>
          <w:sz w:val="24"/>
          <w:szCs w:val="24"/>
        </w:rPr>
        <w:t xml:space="preserve">regular </w:t>
      </w:r>
      <w:r w:rsidRPr="003F23F1">
        <w:rPr>
          <w:sz w:val="24"/>
          <w:szCs w:val="24"/>
        </w:rPr>
        <w:t xml:space="preserve">session of the General Assembly made major strides to update the Commonwealth’s tax system. </w:t>
      </w:r>
      <w:r w:rsidR="0038392A">
        <w:rPr>
          <w:sz w:val="24"/>
          <w:szCs w:val="24"/>
        </w:rPr>
        <w:t>Th</w:t>
      </w:r>
      <w:r w:rsidRPr="003F23F1">
        <w:rPr>
          <w:sz w:val="24"/>
          <w:szCs w:val="24"/>
        </w:rPr>
        <w:t>e following pro</w:t>
      </w:r>
      <w:r w:rsidR="0038392A">
        <w:rPr>
          <w:sz w:val="24"/>
          <w:szCs w:val="24"/>
        </w:rPr>
        <w:t>vision</w:t>
      </w:r>
      <w:r w:rsidRPr="003F23F1">
        <w:rPr>
          <w:sz w:val="24"/>
          <w:szCs w:val="24"/>
        </w:rPr>
        <w:t xml:space="preserve">s </w:t>
      </w:r>
      <w:r w:rsidR="001474D5">
        <w:rPr>
          <w:sz w:val="24"/>
          <w:szCs w:val="24"/>
        </w:rPr>
        <w:t xml:space="preserve">of HB 354 from the 2019 session of the General Assembly </w:t>
      </w:r>
      <w:r w:rsidR="005C0135">
        <w:rPr>
          <w:sz w:val="24"/>
          <w:szCs w:val="24"/>
        </w:rPr>
        <w:t>continue</w:t>
      </w:r>
      <w:r w:rsidRPr="003F23F1">
        <w:rPr>
          <w:sz w:val="24"/>
          <w:szCs w:val="24"/>
        </w:rPr>
        <w:t xml:space="preserve"> the work of </w:t>
      </w:r>
      <w:r w:rsidR="005C0135">
        <w:rPr>
          <w:sz w:val="24"/>
          <w:szCs w:val="24"/>
        </w:rPr>
        <w:t>reform.</w:t>
      </w:r>
      <w:r w:rsidR="004D6794">
        <w:rPr>
          <w:sz w:val="24"/>
          <w:szCs w:val="24"/>
        </w:rPr>
        <w:t xml:space="preserve"> HB 458 was passed by the General Assembly on the last day of the 2019 session to make technical changes to HB 354. </w:t>
      </w:r>
      <w:r w:rsidR="00396209">
        <w:rPr>
          <w:sz w:val="24"/>
          <w:szCs w:val="24"/>
        </w:rPr>
        <w:t>Finally, SB 246 created a new</w:t>
      </w:r>
      <w:r w:rsidR="008D7C1C">
        <w:rPr>
          <w:sz w:val="24"/>
          <w:szCs w:val="24"/>
        </w:rPr>
        <w:t xml:space="preserve"> Farm Small Business Tax Credit</w:t>
      </w:r>
      <w:r w:rsidR="00396209">
        <w:rPr>
          <w:sz w:val="24"/>
          <w:szCs w:val="24"/>
        </w:rPr>
        <w:t>.</w:t>
      </w:r>
      <w:r w:rsidR="004805CF">
        <w:rPr>
          <w:sz w:val="24"/>
          <w:szCs w:val="24"/>
        </w:rPr>
        <w:t xml:space="preserve"> Unless otherwise stated, the effective date of these statute changes in June 2</w:t>
      </w:r>
      <w:r w:rsidR="00F432D3">
        <w:rPr>
          <w:sz w:val="24"/>
          <w:szCs w:val="24"/>
        </w:rPr>
        <w:t>7</w:t>
      </w:r>
      <w:r w:rsidR="004805CF">
        <w:rPr>
          <w:sz w:val="24"/>
          <w:szCs w:val="24"/>
        </w:rPr>
        <w:t>, 2019.</w:t>
      </w:r>
    </w:p>
    <w:p w:rsidR="00FE4786" w:rsidRDefault="00FE4786" w:rsidP="00FE4786">
      <w:pPr>
        <w:jc w:val="both"/>
        <w:rPr>
          <w:sz w:val="24"/>
          <w:szCs w:val="24"/>
        </w:rPr>
      </w:pPr>
    </w:p>
    <w:p w:rsidR="00FE4786" w:rsidRPr="00E16D19" w:rsidRDefault="00FE4786" w:rsidP="00FE4786">
      <w:pPr>
        <w:pStyle w:val="Heading2"/>
        <w:rPr>
          <w:u w:val="single"/>
        </w:rPr>
      </w:pPr>
      <w:bookmarkStart w:id="2" w:name="_Toc5285464"/>
      <w:r w:rsidRPr="00E16D19">
        <w:rPr>
          <w:u w:val="single"/>
        </w:rPr>
        <w:t>Tax Repeal</w:t>
      </w:r>
      <w:r w:rsidR="008B3939">
        <w:rPr>
          <w:u w:val="single"/>
        </w:rPr>
        <w:t xml:space="preserve"> and Replacement</w:t>
      </w:r>
      <w:bookmarkEnd w:id="2"/>
    </w:p>
    <w:p w:rsidR="00FE4786" w:rsidRDefault="00FE4786" w:rsidP="00FE4786">
      <w:pPr>
        <w:jc w:val="both"/>
        <w:rPr>
          <w:sz w:val="24"/>
          <w:szCs w:val="24"/>
        </w:rPr>
      </w:pPr>
    </w:p>
    <w:p w:rsidR="009E5A7A" w:rsidRDefault="009E5A7A" w:rsidP="009E5A7A">
      <w:pPr>
        <w:pStyle w:val="Heading3"/>
      </w:pPr>
      <w:bookmarkStart w:id="3" w:name="_Toc5285465"/>
      <w:r>
        <w:t>Bank Franchise Tax</w:t>
      </w:r>
      <w:bookmarkEnd w:id="3"/>
    </w:p>
    <w:p w:rsidR="009E5A7A" w:rsidRDefault="008D7C1C" w:rsidP="008D7C1C">
      <w:pPr>
        <w:ind w:left="720"/>
        <w:contextualSpacing/>
        <w:jc w:val="both"/>
        <w:rPr>
          <w:sz w:val="24"/>
          <w:szCs w:val="24"/>
        </w:rPr>
      </w:pPr>
      <w:r>
        <w:rPr>
          <w:sz w:val="24"/>
          <w:szCs w:val="24"/>
        </w:rPr>
        <w:t>HB 354</w:t>
      </w:r>
      <w:r w:rsidR="005C0135">
        <w:rPr>
          <w:sz w:val="24"/>
          <w:szCs w:val="24"/>
        </w:rPr>
        <w:t xml:space="preserve"> Sections</w:t>
      </w:r>
      <w:r w:rsidR="009E5A7A">
        <w:rPr>
          <w:sz w:val="24"/>
          <w:szCs w:val="24"/>
        </w:rPr>
        <w:t>:</w:t>
      </w:r>
      <w:r w:rsidR="009E5A7A">
        <w:rPr>
          <w:sz w:val="24"/>
          <w:szCs w:val="24"/>
        </w:rPr>
        <w:tab/>
      </w:r>
      <w:r w:rsidR="002A5778">
        <w:rPr>
          <w:sz w:val="24"/>
          <w:szCs w:val="24"/>
        </w:rPr>
        <w:t xml:space="preserve">35, 44, </w:t>
      </w:r>
      <w:r w:rsidR="00C84A48">
        <w:rPr>
          <w:sz w:val="24"/>
          <w:szCs w:val="24"/>
        </w:rPr>
        <w:t>52</w:t>
      </w:r>
      <w:r w:rsidR="005C0135">
        <w:rPr>
          <w:sz w:val="24"/>
          <w:szCs w:val="24"/>
        </w:rPr>
        <w:t>, and 81</w:t>
      </w:r>
    </w:p>
    <w:p w:rsidR="008D7C1C" w:rsidRPr="00C84A48" w:rsidRDefault="008D7C1C" w:rsidP="008D7C1C">
      <w:pPr>
        <w:ind w:left="720"/>
        <w:contextualSpacing/>
        <w:jc w:val="both"/>
        <w:rPr>
          <w:sz w:val="24"/>
          <w:szCs w:val="24"/>
        </w:rPr>
      </w:pPr>
      <w:r>
        <w:rPr>
          <w:sz w:val="24"/>
          <w:szCs w:val="24"/>
        </w:rPr>
        <w:t>HB 458 Sections:</w:t>
      </w:r>
      <w:r>
        <w:rPr>
          <w:sz w:val="24"/>
          <w:szCs w:val="24"/>
        </w:rPr>
        <w:tab/>
      </w:r>
      <w:r w:rsidRPr="008D7C1C">
        <w:rPr>
          <w:color w:val="000000" w:themeColor="text1"/>
          <w:sz w:val="24"/>
          <w:szCs w:val="24"/>
        </w:rPr>
        <w:t>6</w:t>
      </w:r>
      <w:r w:rsidR="0045720C">
        <w:rPr>
          <w:color w:val="000000" w:themeColor="text1"/>
          <w:sz w:val="24"/>
          <w:szCs w:val="24"/>
        </w:rPr>
        <w:t xml:space="preserve"> through</w:t>
      </w:r>
      <w:r w:rsidRPr="008D7C1C">
        <w:rPr>
          <w:color w:val="000000" w:themeColor="text1"/>
          <w:sz w:val="24"/>
          <w:szCs w:val="24"/>
        </w:rPr>
        <w:t xml:space="preserve"> 13</w:t>
      </w:r>
    </w:p>
    <w:p w:rsidR="009E5A7A" w:rsidRDefault="009E5A7A" w:rsidP="00FE4786">
      <w:pPr>
        <w:jc w:val="both"/>
        <w:rPr>
          <w:sz w:val="24"/>
          <w:szCs w:val="24"/>
        </w:rPr>
      </w:pPr>
      <w:r>
        <w:rPr>
          <w:sz w:val="24"/>
          <w:szCs w:val="24"/>
        </w:rPr>
        <w:t xml:space="preserve">Locally owned community banks throughout the Commonwealth are at a competitive disadvantage due to the </w:t>
      </w:r>
      <w:r w:rsidR="0038392A">
        <w:rPr>
          <w:sz w:val="24"/>
          <w:szCs w:val="24"/>
        </w:rPr>
        <w:t xml:space="preserve">state’s </w:t>
      </w:r>
      <w:r>
        <w:rPr>
          <w:sz w:val="24"/>
          <w:szCs w:val="24"/>
        </w:rPr>
        <w:t>antiquated bank franchise tax.</w:t>
      </w:r>
      <w:r w:rsidR="000C645F">
        <w:rPr>
          <w:sz w:val="24"/>
          <w:szCs w:val="24"/>
        </w:rPr>
        <w:t xml:space="preserve">  </w:t>
      </w:r>
      <w:r w:rsidR="00B17694">
        <w:rPr>
          <w:sz w:val="24"/>
          <w:szCs w:val="24"/>
        </w:rPr>
        <w:t>Effective</w:t>
      </w:r>
      <w:r w:rsidR="000C645F">
        <w:rPr>
          <w:sz w:val="24"/>
          <w:szCs w:val="24"/>
        </w:rPr>
        <w:t xml:space="preserve"> January 1, 202</w:t>
      </w:r>
      <w:r w:rsidR="00675C9B">
        <w:rPr>
          <w:sz w:val="24"/>
          <w:szCs w:val="24"/>
        </w:rPr>
        <w:t>1</w:t>
      </w:r>
      <w:r w:rsidR="000C645F">
        <w:rPr>
          <w:sz w:val="24"/>
          <w:szCs w:val="24"/>
        </w:rPr>
        <w:t>, the bank franchise tax will no longer apply to financial institutions.</w:t>
      </w:r>
      <w:r>
        <w:rPr>
          <w:sz w:val="24"/>
          <w:szCs w:val="24"/>
        </w:rPr>
        <w:t xml:space="preserve"> In its place, banks will be taxed </w:t>
      </w:r>
      <w:r w:rsidR="003C1D9C">
        <w:rPr>
          <w:sz w:val="24"/>
          <w:szCs w:val="24"/>
        </w:rPr>
        <w:t>similarly to</w:t>
      </w:r>
      <w:r>
        <w:rPr>
          <w:sz w:val="24"/>
          <w:szCs w:val="24"/>
        </w:rPr>
        <w:t xml:space="preserve"> other corporations in Kentucky</w:t>
      </w:r>
      <w:r w:rsidR="005C0135">
        <w:rPr>
          <w:sz w:val="24"/>
          <w:szCs w:val="24"/>
        </w:rPr>
        <w:t xml:space="preserve"> beginning </w:t>
      </w:r>
      <w:r w:rsidR="00B17694">
        <w:rPr>
          <w:sz w:val="24"/>
          <w:szCs w:val="24"/>
        </w:rPr>
        <w:t>on January 1,</w:t>
      </w:r>
      <w:r w:rsidR="005C0135">
        <w:rPr>
          <w:sz w:val="24"/>
          <w:szCs w:val="24"/>
        </w:rPr>
        <w:t xml:space="preserve"> 202</w:t>
      </w:r>
      <w:r w:rsidR="00675C9B">
        <w:rPr>
          <w:sz w:val="24"/>
          <w:szCs w:val="24"/>
        </w:rPr>
        <w:t>1</w:t>
      </w:r>
      <w:r w:rsidR="005C0135">
        <w:rPr>
          <w:sz w:val="24"/>
          <w:szCs w:val="24"/>
        </w:rPr>
        <w:t>.</w:t>
      </w:r>
    </w:p>
    <w:p w:rsidR="002E2A36" w:rsidRDefault="002E2A36" w:rsidP="006E5925">
      <w:pPr>
        <w:jc w:val="both"/>
        <w:rPr>
          <w:sz w:val="24"/>
          <w:szCs w:val="24"/>
        </w:rPr>
      </w:pPr>
    </w:p>
    <w:p w:rsidR="002E2A36" w:rsidRPr="00E16D19" w:rsidRDefault="002E2A36" w:rsidP="002E2A36">
      <w:pPr>
        <w:pStyle w:val="Heading2"/>
        <w:rPr>
          <w:u w:val="single"/>
        </w:rPr>
      </w:pPr>
      <w:bookmarkStart w:id="4" w:name="_Toc5285466"/>
      <w:r w:rsidRPr="00E16D19">
        <w:rPr>
          <w:u w:val="single"/>
        </w:rPr>
        <w:t>Other Reforms</w:t>
      </w:r>
      <w:bookmarkEnd w:id="4"/>
    </w:p>
    <w:p w:rsidR="002E2A36" w:rsidRDefault="002E2A36" w:rsidP="006E5925">
      <w:pPr>
        <w:jc w:val="both"/>
        <w:rPr>
          <w:sz w:val="24"/>
          <w:szCs w:val="24"/>
        </w:rPr>
      </w:pPr>
    </w:p>
    <w:p w:rsidR="0019729B" w:rsidRDefault="0019729B" w:rsidP="0019729B">
      <w:pPr>
        <w:pStyle w:val="Heading3"/>
      </w:pPr>
      <w:bookmarkStart w:id="5" w:name="_Toc5285467"/>
      <w:r>
        <w:t>Marketplace Providers</w:t>
      </w:r>
      <w:bookmarkEnd w:id="5"/>
    </w:p>
    <w:p w:rsidR="0019729B" w:rsidRDefault="008D7C1C" w:rsidP="008D7C1C">
      <w:pPr>
        <w:ind w:left="720"/>
        <w:contextualSpacing/>
        <w:jc w:val="both"/>
        <w:rPr>
          <w:sz w:val="24"/>
          <w:szCs w:val="24"/>
        </w:rPr>
      </w:pPr>
      <w:r>
        <w:rPr>
          <w:sz w:val="24"/>
          <w:szCs w:val="24"/>
        </w:rPr>
        <w:t>HB 354</w:t>
      </w:r>
      <w:r w:rsidR="005C0135">
        <w:rPr>
          <w:sz w:val="24"/>
          <w:szCs w:val="24"/>
        </w:rPr>
        <w:t xml:space="preserve"> Sections</w:t>
      </w:r>
      <w:r w:rsidR="0019729B">
        <w:rPr>
          <w:sz w:val="24"/>
          <w:szCs w:val="24"/>
        </w:rPr>
        <w:t>:</w:t>
      </w:r>
      <w:r w:rsidR="0019729B">
        <w:rPr>
          <w:sz w:val="24"/>
          <w:szCs w:val="24"/>
        </w:rPr>
        <w:tab/>
      </w:r>
      <w:r w:rsidR="002A5778">
        <w:rPr>
          <w:sz w:val="24"/>
          <w:szCs w:val="24"/>
        </w:rPr>
        <w:t>19, 24, 25, 33, and 82</w:t>
      </w:r>
    </w:p>
    <w:p w:rsidR="0019729B" w:rsidRDefault="0019729B" w:rsidP="006E5925">
      <w:pPr>
        <w:jc w:val="both"/>
        <w:rPr>
          <w:sz w:val="24"/>
          <w:szCs w:val="24"/>
        </w:rPr>
      </w:pPr>
      <w:r>
        <w:rPr>
          <w:sz w:val="24"/>
          <w:szCs w:val="24"/>
        </w:rPr>
        <w:t xml:space="preserve">The shift from “bricks and mortar” retail locations to online retailing has reduced state sales tax collection over the past decade. This </w:t>
      </w:r>
      <w:r w:rsidR="005C0135">
        <w:rPr>
          <w:sz w:val="24"/>
          <w:szCs w:val="24"/>
        </w:rPr>
        <w:t>provision</w:t>
      </w:r>
      <w:r>
        <w:rPr>
          <w:sz w:val="24"/>
          <w:szCs w:val="24"/>
        </w:rPr>
        <w:t xml:space="preserve"> requires internet “marketplace providers” to collect sales tax on behalf of thousands of businesses selling into Kentucky but not collecting sales tax. This reduce</w:t>
      </w:r>
      <w:r w:rsidR="002850D9">
        <w:rPr>
          <w:sz w:val="24"/>
          <w:szCs w:val="24"/>
        </w:rPr>
        <w:t>s</w:t>
      </w:r>
      <w:r>
        <w:rPr>
          <w:sz w:val="24"/>
          <w:szCs w:val="24"/>
        </w:rPr>
        <w:t xml:space="preserve"> the competitive disadvantage suffered by businesses</w:t>
      </w:r>
      <w:r w:rsidR="00EE36D5">
        <w:rPr>
          <w:sz w:val="24"/>
          <w:szCs w:val="24"/>
        </w:rPr>
        <w:t xml:space="preserve"> that </w:t>
      </w:r>
      <w:r>
        <w:rPr>
          <w:sz w:val="24"/>
          <w:szCs w:val="24"/>
        </w:rPr>
        <w:t>co</w:t>
      </w:r>
      <w:r w:rsidR="00D34FCB">
        <w:rPr>
          <w:sz w:val="24"/>
          <w:szCs w:val="24"/>
        </w:rPr>
        <w:t xml:space="preserve">llect sales tax </w:t>
      </w:r>
      <w:r w:rsidR="002850D9">
        <w:rPr>
          <w:sz w:val="24"/>
          <w:szCs w:val="24"/>
        </w:rPr>
        <w:t>and results</w:t>
      </w:r>
      <w:r w:rsidR="00134E49">
        <w:rPr>
          <w:sz w:val="24"/>
          <w:szCs w:val="24"/>
        </w:rPr>
        <w:t xml:space="preserve"> from</w:t>
      </w:r>
      <w:r w:rsidR="005C0135">
        <w:rPr>
          <w:sz w:val="24"/>
          <w:szCs w:val="24"/>
        </w:rPr>
        <w:t xml:space="preserve"> the U.S. Supreme Court case </w:t>
      </w:r>
      <w:r w:rsidR="005C0135" w:rsidRPr="005C0135">
        <w:rPr>
          <w:i/>
          <w:sz w:val="24"/>
          <w:szCs w:val="24"/>
        </w:rPr>
        <w:t>South Dakota v. Wayfair</w:t>
      </w:r>
      <w:r w:rsidR="001A6583">
        <w:rPr>
          <w:i/>
          <w:sz w:val="24"/>
          <w:szCs w:val="24"/>
        </w:rPr>
        <w:t>, Inc</w:t>
      </w:r>
      <w:r>
        <w:rPr>
          <w:sz w:val="24"/>
          <w:szCs w:val="24"/>
        </w:rPr>
        <w:t>.</w:t>
      </w:r>
      <w:r w:rsidR="00B17694">
        <w:rPr>
          <w:sz w:val="24"/>
          <w:szCs w:val="24"/>
        </w:rPr>
        <w:t xml:space="preserve"> This provision is effective July 1, 2019</w:t>
      </w:r>
      <w:r w:rsidR="005C786E">
        <w:rPr>
          <w:sz w:val="24"/>
          <w:szCs w:val="24"/>
        </w:rPr>
        <w:t>, for sellers with more than $100,000 in gross receipts or 200 transactions in Kentucky</w:t>
      </w:r>
      <w:r w:rsidR="00B17694">
        <w:rPr>
          <w:sz w:val="24"/>
          <w:szCs w:val="24"/>
        </w:rPr>
        <w:t>.</w:t>
      </w:r>
    </w:p>
    <w:p w:rsidR="00630B18" w:rsidRDefault="00630B18" w:rsidP="0019729B">
      <w:pPr>
        <w:pStyle w:val="Heading3"/>
      </w:pPr>
    </w:p>
    <w:p w:rsidR="0019729B" w:rsidRDefault="0019729B" w:rsidP="0019729B">
      <w:pPr>
        <w:pStyle w:val="Heading3"/>
      </w:pPr>
      <w:bookmarkStart w:id="6" w:name="_Toc5285468"/>
      <w:r>
        <w:t>Personal Property Tax Return Filing</w:t>
      </w:r>
      <w:bookmarkEnd w:id="6"/>
    </w:p>
    <w:p w:rsidR="0019729B" w:rsidRDefault="008D7C1C" w:rsidP="008D7C1C">
      <w:pPr>
        <w:ind w:left="720"/>
        <w:contextualSpacing/>
        <w:jc w:val="both"/>
        <w:rPr>
          <w:sz w:val="24"/>
          <w:szCs w:val="24"/>
        </w:rPr>
      </w:pPr>
      <w:r>
        <w:rPr>
          <w:sz w:val="24"/>
          <w:szCs w:val="24"/>
        </w:rPr>
        <w:t>HB 354</w:t>
      </w:r>
      <w:r w:rsidR="002A5778">
        <w:rPr>
          <w:sz w:val="24"/>
          <w:szCs w:val="24"/>
        </w:rPr>
        <w:t xml:space="preserve"> Section</w:t>
      </w:r>
      <w:r>
        <w:rPr>
          <w:sz w:val="24"/>
          <w:szCs w:val="24"/>
        </w:rPr>
        <w:t>s</w:t>
      </w:r>
      <w:r w:rsidR="0019729B">
        <w:rPr>
          <w:sz w:val="24"/>
          <w:szCs w:val="24"/>
        </w:rPr>
        <w:t>:</w:t>
      </w:r>
      <w:r w:rsidR="0019729B">
        <w:rPr>
          <w:sz w:val="24"/>
          <w:szCs w:val="24"/>
        </w:rPr>
        <w:tab/>
      </w:r>
      <w:r w:rsidR="002A5778">
        <w:rPr>
          <w:sz w:val="24"/>
          <w:szCs w:val="24"/>
        </w:rPr>
        <w:t>10 and 81</w:t>
      </w:r>
    </w:p>
    <w:p w:rsidR="0019729B" w:rsidRDefault="00B17694" w:rsidP="006E5925">
      <w:pPr>
        <w:jc w:val="both"/>
        <w:rPr>
          <w:sz w:val="24"/>
          <w:szCs w:val="24"/>
        </w:rPr>
      </w:pPr>
      <w:r>
        <w:rPr>
          <w:sz w:val="24"/>
          <w:szCs w:val="24"/>
        </w:rPr>
        <w:t>Effective January 1, 2020, m</w:t>
      </w:r>
      <w:r w:rsidR="0019729B">
        <w:rPr>
          <w:sz w:val="24"/>
          <w:szCs w:val="24"/>
        </w:rPr>
        <w:t xml:space="preserve">icro-businesses and those participating in the “gig” economy are relieved of a substantial </w:t>
      </w:r>
      <w:r w:rsidR="002850D9">
        <w:rPr>
          <w:sz w:val="24"/>
          <w:szCs w:val="24"/>
        </w:rPr>
        <w:t>burden</w:t>
      </w:r>
      <w:r w:rsidR="0019729B">
        <w:rPr>
          <w:sz w:val="24"/>
          <w:szCs w:val="24"/>
        </w:rPr>
        <w:t xml:space="preserve"> by this provision </w:t>
      </w:r>
      <w:r w:rsidR="001A6583">
        <w:rPr>
          <w:sz w:val="24"/>
          <w:szCs w:val="24"/>
        </w:rPr>
        <w:t>to eliminate the filing of tangible personal property tax returns with property valued at $1,000 or less</w:t>
      </w:r>
      <w:r w:rsidR="0019729B">
        <w:rPr>
          <w:sz w:val="24"/>
          <w:szCs w:val="24"/>
        </w:rPr>
        <w:t>.</w:t>
      </w:r>
    </w:p>
    <w:p w:rsidR="0019729B" w:rsidRDefault="0019729B" w:rsidP="0019729B">
      <w:pPr>
        <w:pStyle w:val="Heading3"/>
      </w:pPr>
      <w:bookmarkStart w:id="7" w:name="_Toc5285469"/>
      <w:r>
        <w:lastRenderedPageBreak/>
        <w:t xml:space="preserve">Estimated </w:t>
      </w:r>
      <w:r w:rsidR="002A5778">
        <w:t xml:space="preserve">Income </w:t>
      </w:r>
      <w:r>
        <w:t>Tax Payment Rules</w:t>
      </w:r>
      <w:bookmarkEnd w:id="7"/>
    </w:p>
    <w:p w:rsidR="0019729B" w:rsidRDefault="008D7C1C" w:rsidP="008D7C1C">
      <w:pPr>
        <w:ind w:left="720"/>
        <w:contextualSpacing/>
        <w:jc w:val="both"/>
        <w:rPr>
          <w:sz w:val="24"/>
          <w:szCs w:val="24"/>
        </w:rPr>
      </w:pPr>
      <w:r>
        <w:rPr>
          <w:sz w:val="24"/>
          <w:szCs w:val="24"/>
        </w:rPr>
        <w:t>HB 354</w:t>
      </w:r>
      <w:r w:rsidR="002A5778">
        <w:rPr>
          <w:sz w:val="24"/>
          <w:szCs w:val="24"/>
        </w:rPr>
        <w:t xml:space="preserve"> Sections</w:t>
      </w:r>
      <w:r w:rsidR="0019729B">
        <w:rPr>
          <w:sz w:val="24"/>
          <w:szCs w:val="24"/>
        </w:rPr>
        <w:t>:</w:t>
      </w:r>
      <w:r w:rsidR="0019729B">
        <w:rPr>
          <w:sz w:val="24"/>
          <w:szCs w:val="24"/>
        </w:rPr>
        <w:tab/>
      </w:r>
      <w:r w:rsidR="002A5778">
        <w:rPr>
          <w:sz w:val="24"/>
          <w:szCs w:val="24"/>
        </w:rPr>
        <w:t>3, 4, 42, 49, 50, 52, 58, 59</w:t>
      </w:r>
      <w:r w:rsidR="0045720C">
        <w:rPr>
          <w:sz w:val="24"/>
          <w:szCs w:val="24"/>
        </w:rPr>
        <w:t>,</w:t>
      </w:r>
      <w:r w:rsidR="002A5778">
        <w:rPr>
          <w:sz w:val="24"/>
          <w:szCs w:val="24"/>
        </w:rPr>
        <w:t xml:space="preserve"> and 80</w:t>
      </w:r>
    </w:p>
    <w:p w:rsidR="008D7C1C" w:rsidRDefault="008D7C1C" w:rsidP="008D7C1C">
      <w:pPr>
        <w:ind w:left="720"/>
        <w:contextualSpacing/>
        <w:jc w:val="both"/>
        <w:rPr>
          <w:b/>
          <w:sz w:val="24"/>
          <w:szCs w:val="24"/>
        </w:rPr>
      </w:pPr>
      <w:r>
        <w:rPr>
          <w:sz w:val="24"/>
          <w:szCs w:val="24"/>
        </w:rPr>
        <w:t>HB 458 Section:</w:t>
      </w:r>
      <w:r>
        <w:rPr>
          <w:sz w:val="24"/>
          <w:szCs w:val="24"/>
        </w:rPr>
        <w:tab/>
        <w:t>15</w:t>
      </w:r>
    </w:p>
    <w:p w:rsidR="0019729B" w:rsidRDefault="0019729B" w:rsidP="006E5925">
      <w:pPr>
        <w:jc w:val="both"/>
        <w:rPr>
          <w:sz w:val="24"/>
          <w:szCs w:val="24"/>
        </w:rPr>
      </w:pPr>
      <w:r>
        <w:rPr>
          <w:sz w:val="24"/>
          <w:szCs w:val="24"/>
        </w:rPr>
        <w:t>This provision aligns Kentucky’s individual</w:t>
      </w:r>
      <w:r w:rsidR="00D34FCB">
        <w:rPr>
          <w:sz w:val="24"/>
          <w:szCs w:val="24"/>
        </w:rPr>
        <w:t xml:space="preserve"> income</w:t>
      </w:r>
      <w:r w:rsidR="002A5778">
        <w:rPr>
          <w:sz w:val="24"/>
          <w:szCs w:val="24"/>
        </w:rPr>
        <w:t>,</w:t>
      </w:r>
      <w:r>
        <w:rPr>
          <w:sz w:val="24"/>
          <w:szCs w:val="24"/>
        </w:rPr>
        <w:t xml:space="preserve"> corporation</w:t>
      </w:r>
      <w:r w:rsidR="00D34FCB">
        <w:rPr>
          <w:sz w:val="24"/>
          <w:szCs w:val="24"/>
        </w:rPr>
        <w:t xml:space="preserve"> income</w:t>
      </w:r>
      <w:r w:rsidR="002A5778">
        <w:rPr>
          <w:sz w:val="24"/>
          <w:szCs w:val="24"/>
        </w:rPr>
        <w:t>, limited liability entity, and non-resident withholding</w:t>
      </w:r>
      <w:r>
        <w:rPr>
          <w:sz w:val="24"/>
          <w:szCs w:val="24"/>
        </w:rPr>
        <w:t xml:space="preserve"> estimated tax filing rules with </w:t>
      </w:r>
      <w:r w:rsidR="00D34FCB">
        <w:rPr>
          <w:sz w:val="24"/>
          <w:szCs w:val="24"/>
        </w:rPr>
        <w:t xml:space="preserve">those of </w:t>
      </w:r>
      <w:r>
        <w:rPr>
          <w:sz w:val="24"/>
          <w:szCs w:val="24"/>
        </w:rPr>
        <w:t xml:space="preserve">the IRS. Now, taxpayers will have only one set of rules for both federal and state </w:t>
      </w:r>
      <w:r w:rsidR="00EE36D5">
        <w:rPr>
          <w:sz w:val="24"/>
          <w:szCs w:val="24"/>
        </w:rPr>
        <w:t xml:space="preserve">estimated </w:t>
      </w:r>
      <w:r>
        <w:rPr>
          <w:sz w:val="24"/>
          <w:szCs w:val="24"/>
        </w:rPr>
        <w:t>income tax payments.</w:t>
      </w:r>
      <w:r w:rsidR="00B17694">
        <w:rPr>
          <w:sz w:val="24"/>
          <w:szCs w:val="24"/>
        </w:rPr>
        <w:t xml:space="preserve"> The new rules are effective January 1, 2019.</w:t>
      </w:r>
    </w:p>
    <w:p w:rsidR="0019729B" w:rsidRDefault="0019729B" w:rsidP="006E5925">
      <w:pPr>
        <w:jc w:val="both"/>
        <w:rPr>
          <w:sz w:val="24"/>
          <w:szCs w:val="24"/>
        </w:rPr>
      </w:pPr>
    </w:p>
    <w:p w:rsidR="0019729B" w:rsidRDefault="002A5778" w:rsidP="00EA3EC4">
      <w:pPr>
        <w:pStyle w:val="Heading3"/>
      </w:pPr>
      <w:bookmarkStart w:id="8" w:name="_Toc5285470"/>
      <w:r>
        <w:t>Heavy Equipment Rental Inventory</w:t>
      </w:r>
      <w:bookmarkEnd w:id="8"/>
    </w:p>
    <w:p w:rsidR="0019729B" w:rsidRDefault="008D7C1C" w:rsidP="008D7C1C">
      <w:pPr>
        <w:ind w:left="720"/>
        <w:contextualSpacing/>
        <w:jc w:val="both"/>
        <w:rPr>
          <w:sz w:val="24"/>
          <w:szCs w:val="24"/>
        </w:rPr>
      </w:pPr>
      <w:r>
        <w:rPr>
          <w:sz w:val="24"/>
          <w:szCs w:val="24"/>
        </w:rPr>
        <w:t>HB 354</w:t>
      </w:r>
      <w:r w:rsidR="002A5778">
        <w:rPr>
          <w:sz w:val="24"/>
          <w:szCs w:val="24"/>
        </w:rPr>
        <w:t xml:space="preserve"> Sections</w:t>
      </w:r>
      <w:r w:rsidR="0019729B">
        <w:rPr>
          <w:sz w:val="24"/>
          <w:szCs w:val="24"/>
        </w:rPr>
        <w:t>:</w:t>
      </w:r>
      <w:r w:rsidR="0019729B">
        <w:rPr>
          <w:sz w:val="24"/>
          <w:szCs w:val="24"/>
        </w:rPr>
        <w:tab/>
      </w:r>
      <w:r w:rsidR="002A5778">
        <w:rPr>
          <w:sz w:val="24"/>
          <w:szCs w:val="24"/>
        </w:rPr>
        <w:t>8, 9, and 81</w:t>
      </w:r>
    </w:p>
    <w:p w:rsidR="0019729B" w:rsidRDefault="00B17694" w:rsidP="006E5925">
      <w:pPr>
        <w:jc w:val="both"/>
        <w:rPr>
          <w:sz w:val="24"/>
          <w:szCs w:val="24"/>
        </w:rPr>
      </w:pPr>
      <w:r>
        <w:rPr>
          <w:sz w:val="24"/>
          <w:szCs w:val="24"/>
        </w:rPr>
        <w:t>Effective January 1, 2020, t</w:t>
      </w:r>
      <w:r w:rsidR="0019729B">
        <w:rPr>
          <w:sz w:val="24"/>
          <w:szCs w:val="24"/>
        </w:rPr>
        <w:t xml:space="preserve">his provision </w:t>
      </w:r>
      <w:r w:rsidR="002A5778">
        <w:rPr>
          <w:sz w:val="24"/>
          <w:szCs w:val="24"/>
        </w:rPr>
        <w:t>amends tangible personal property ad valor</w:t>
      </w:r>
      <w:r w:rsidR="00134E49">
        <w:rPr>
          <w:sz w:val="24"/>
          <w:szCs w:val="24"/>
        </w:rPr>
        <w:t>e</w:t>
      </w:r>
      <w:r w:rsidR="002A5778">
        <w:rPr>
          <w:sz w:val="24"/>
          <w:szCs w:val="24"/>
        </w:rPr>
        <w:t xml:space="preserve">m tax statutes to treat heavy </w:t>
      </w:r>
      <w:r w:rsidR="00B73881">
        <w:rPr>
          <w:sz w:val="24"/>
          <w:szCs w:val="24"/>
        </w:rPr>
        <w:t xml:space="preserve">rental </w:t>
      </w:r>
      <w:r w:rsidR="002A5778">
        <w:rPr>
          <w:sz w:val="24"/>
          <w:szCs w:val="24"/>
        </w:rPr>
        <w:t xml:space="preserve">equipment </w:t>
      </w:r>
      <w:r w:rsidR="00B73881">
        <w:rPr>
          <w:sz w:val="24"/>
          <w:szCs w:val="24"/>
        </w:rPr>
        <w:t xml:space="preserve">as inventory since the industry </w:t>
      </w:r>
      <w:r w:rsidR="0043551D">
        <w:rPr>
          <w:sz w:val="24"/>
          <w:szCs w:val="24"/>
        </w:rPr>
        <w:t>sells</w:t>
      </w:r>
      <w:r w:rsidR="00B73881">
        <w:rPr>
          <w:sz w:val="24"/>
          <w:szCs w:val="24"/>
        </w:rPr>
        <w:t xml:space="preserve"> the equipment similar</w:t>
      </w:r>
      <w:r w:rsidR="00D34FCB">
        <w:rPr>
          <w:sz w:val="24"/>
          <w:szCs w:val="24"/>
        </w:rPr>
        <w:t>ly</w:t>
      </w:r>
      <w:r w:rsidR="00B73881">
        <w:rPr>
          <w:sz w:val="24"/>
          <w:szCs w:val="24"/>
        </w:rPr>
        <w:t xml:space="preserve"> to a new </w:t>
      </w:r>
      <w:r w:rsidR="0043551D">
        <w:rPr>
          <w:sz w:val="24"/>
          <w:szCs w:val="24"/>
        </w:rPr>
        <w:t xml:space="preserve">or used </w:t>
      </w:r>
      <w:r w:rsidR="00B73881">
        <w:rPr>
          <w:sz w:val="24"/>
          <w:szCs w:val="24"/>
        </w:rPr>
        <w:t>equipment dealer</w:t>
      </w:r>
      <w:r w:rsidR="00EA3EC4">
        <w:rPr>
          <w:sz w:val="24"/>
          <w:szCs w:val="24"/>
        </w:rPr>
        <w:t>.</w:t>
      </w:r>
    </w:p>
    <w:p w:rsidR="001474D5" w:rsidRDefault="001474D5" w:rsidP="006E5925">
      <w:pPr>
        <w:jc w:val="both"/>
        <w:rPr>
          <w:sz w:val="24"/>
          <w:szCs w:val="24"/>
        </w:rPr>
      </w:pPr>
    </w:p>
    <w:p w:rsidR="0032277B" w:rsidRDefault="0032277B" w:rsidP="0032277B">
      <w:pPr>
        <w:pStyle w:val="Heading3"/>
      </w:pPr>
      <w:bookmarkStart w:id="9" w:name="_Toc5285471"/>
      <w:r>
        <w:t xml:space="preserve">Enhanced </w:t>
      </w:r>
      <w:r w:rsidR="000C645F">
        <w:t>Internal Revenue Code (</w:t>
      </w:r>
      <w:r>
        <w:t>IRC</w:t>
      </w:r>
      <w:r w:rsidR="000C645F">
        <w:t>)</w:t>
      </w:r>
      <w:r>
        <w:t xml:space="preserve"> </w:t>
      </w:r>
      <w:r>
        <w:rPr>
          <w:rFonts w:cstheme="minorHAnsi"/>
        </w:rPr>
        <w:t>§</w:t>
      </w:r>
      <w:r>
        <w:t>179 Deductions</w:t>
      </w:r>
      <w:bookmarkEnd w:id="9"/>
    </w:p>
    <w:p w:rsidR="0032277B" w:rsidRDefault="008D7C1C" w:rsidP="008D7C1C">
      <w:pPr>
        <w:ind w:left="720"/>
        <w:contextualSpacing/>
        <w:jc w:val="both"/>
        <w:rPr>
          <w:sz w:val="24"/>
          <w:szCs w:val="24"/>
        </w:rPr>
      </w:pPr>
      <w:r>
        <w:rPr>
          <w:sz w:val="24"/>
          <w:szCs w:val="24"/>
        </w:rPr>
        <w:t>HB 354</w:t>
      </w:r>
      <w:r w:rsidR="0032277B">
        <w:rPr>
          <w:sz w:val="24"/>
          <w:szCs w:val="24"/>
        </w:rPr>
        <w:t xml:space="preserve"> Sections:</w:t>
      </w:r>
      <w:r w:rsidR="0032277B">
        <w:rPr>
          <w:sz w:val="24"/>
          <w:szCs w:val="24"/>
        </w:rPr>
        <w:tab/>
        <w:t>36 and 83</w:t>
      </w:r>
    </w:p>
    <w:p w:rsidR="0032277B" w:rsidRDefault="00B17694" w:rsidP="006E5925">
      <w:pPr>
        <w:jc w:val="both"/>
        <w:rPr>
          <w:sz w:val="24"/>
          <w:szCs w:val="24"/>
        </w:rPr>
      </w:pPr>
      <w:r>
        <w:rPr>
          <w:sz w:val="24"/>
          <w:szCs w:val="24"/>
        </w:rPr>
        <w:t>Effective January 1, 2019, s</w:t>
      </w:r>
      <w:r w:rsidR="0032277B">
        <w:rPr>
          <w:sz w:val="24"/>
          <w:szCs w:val="24"/>
        </w:rPr>
        <w:t xml:space="preserve">mall businesses in Kentucky will benefit from enhanced deductibility of major asset purchases by increasing the </w:t>
      </w:r>
      <w:r w:rsidR="0043551D">
        <w:rPr>
          <w:sz w:val="24"/>
          <w:szCs w:val="24"/>
        </w:rPr>
        <w:t xml:space="preserve">IRC </w:t>
      </w:r>
      <w:r w:rsidR="0043551D">
        <w:rPr>
          <w:rFonts w:cstheme="minorHAnsi"/>
          <w:sz w:val="24"/>
          <w:szCs w:val="24"/>
        </w:rPr>
        <w:t>§</w:t>
      </w:r>
      <w:r w:rsidR="0043551D">
        <w:rPr>
          <w:sz w:val="24"/>
          <w:szCs w:val="24"/>
        </w:rPr>
        <w:t xml:space="preserve">179 </w:t>
      </w:r>
      <w:r w:rsidR="0032277B">
        <w:rPr>
          <w:sz w:val="24"/>
          <w:szCs w:val="24"/>
        </w:rPr>
        <w:t xml:space="preserve">expense </w:t>
      </w:r>
      <w:r w:rsidR="0043551D">
        <w:rPr>
          <w:sz w:val="24"/>
          <w:szCs w:val="24"/>
        </w:rPr>
        <w:t>deduction</w:t>
      </w:r>
      <w:r w:rsidR="0032277B">
        <w:rPr>
          <w:sz w:val="24"/>
          <w:szCs w:val="24"/>
        </w:rPr>
        <w:t xml:space="preserve"> from $25,000 to $100,000 per year.</w:t>
      </w:r>
    </w:p>
    <w:p w:rsidR="00343543" w:rsidRDefault="00343543" w:rsidP="006E5925">
      <w:pPr>
        <w:jc w:val="both"/>
        <w:rPr>
          <w:sz w:val="24"/>
          <w:szCs w:val="24"/>
        </w:rPr>
      </w:pPr>
    </w:p>
    <w:p w:rsidR="00343543" w:rsidRDefault="00343543" w:rsidP="00343543">
      <w:pPr>
        <w:pStyle w:val="Heading3"/>
      </w:pPr>
      <w:bookmarkStart w:id="10" w:name="_Toc5285472"/>
      <w:r>
        <w:t>Major Recycling Project Enhancements</w:t>
      </w:r>
      <w:bookmarkEnd w:id="10"/>
    </w:p>
    <w:p w:rsidR="00343543" w:rsidRDefault="008D7C1C" w:rsidP="008D7C1C">
      <w:pPr>
        <w:ind w:left="720"/>
        <w:contextualSpacing/>
        <w:jc w:val="both"/>
        <w:rPr>
          <w:sz w:val="24"/>
          <w:szCs w:val="24"/>
        </w:rPr>
      </w:pPr>
      <w:r>
        <w:rPr>
          <w:sz w:val="24"/>
          <w:szCs w:val="24"/>
        </w:rPr>
        <w:t>HB 354</w:t>
      </w:r>
      <w:r w:rsidR="0043551D">
        <w:rPr>
          <w:sz w:val="24"/>
          <w:szCs w:val="24"/>
        </w:rPr>
        <w:t xml:space="preserve"> Sections:</w:t>
      </w:r>
      <w:r w:rsidR="0043551D">
        <w:rPr>
          <w:sz w:val="24"/>
          <w:szCs w:val="24"/>
        </w:rPr>
        <w:tab/>
        <w:t>53</w:t>
      </w:r>
      <w:r w:rsidR="00343543">
        <w:rPr>
          <w:sz w:val="24"/>
          <w:szCs w:val="24"/>
        </w:rPr>
        <w:t xml:space="preserve"> and 84</w:t>
      </w:r>
    </w:p>
    <w:p w:rsidR="00343543" w:rsidRDefault="00343543" w:rsidP="006E5925">
      <w:pPr>
        <w:jc w:val="both"/>
        <w:rPr>
          <w:sz w:val="24"/>
          <w:szCs w:val="24"/>
        </w:rPr>
      </w:pPr>
      <w:r>
        <w:rPr>
          <w:sz w:val="24"/>
          <w:szCs w:val="24"/>
        </w:rPr>
        <w:t xml:space="preserve">The </w:t>
      </w:r>
      <w:r w:rsidR="000C645F">
        <w:rPr>
          <w:sz w:val="24"/>
          <w:szCs w:val="24"/>
        </w:rPr>
        <w:t xml:space="preserve">income tax </w:t>
      </w:r>
      <w:r>
        <w:rPr>
          <w:sz w:val="24"/>
          <w:szCs w:val="24"/>
        </w:rPr>
        <w:t xml:space="preserve">recycling credit </w:t>
      </w:r>
      <w:r w:rsidR="00134E49">
        <w:rPr>
          <w:sz w:val="24"/>
          <w:szCs w:val="24"/>
        </w:rPr>
        <w:t>was</w:t>
      </w:r>
      <w:r>
        <w:rPr>
          <w:sz w:val="24"/>
          <w:szCs w:val="24"/>
        </w:rPr>
        <w:t xml:space="preserve"> updated to attract major recycling projects to the Commonwealth. A lowered employment threshold will allow projects investing more than $500,000,000 to deduct a 25% recycling equipment credit over 30 years against up to 75% of the tax liability. </w:t>
      </w:r>
      <w:r w:rsidR="00B17694">
        <w:rPr>
          <w:sz w:val="24"/>
          <w:szCs w:val="24"/>
        </w:rPr>
        <w:t>This provision is effective beginning January 1, 2021.</w:t>
      </w:r>
    </w:p>
    <w:p w:rsidR="0032277B" w:rsidRDefault="0032277B" w:rsidP="006E5925">
      <w:pPr>
        <w:jc w:val="both"/>
        <w:rPr>
          <w:sz w:val="24"/>
          <w:szCs w:val="24"/>
        </w:rPr>
      </w:pPr>
    </w:p>
    <w:p w:rsidR="00C84A48" w:rsidRDefault="00C84A48" w:rsidP="00C84A48">
      <w:pPr>
        <w:pStyle w:val="Heading3"/>
      </w:pPr>
      <w:bookmarkStart w:id="11" w:name="_Toc5285473"/>
      <w:r>
        <w:t>Kentucky YMCA Youth Assembly Program Check-Off</w:t>
      </w:r>
      <w:bookmarkEnd w:id="11"/>
    </w:p>
    <w:p w:rsidR="00C84A48" w:rsidRPr="008D7C1C" w:rsidRDefault="008D7C1C" w:rsidP="008D7C1C">
      <w:pPr>
        <w:ind w:left="720"/>
        <w:contextualSpacing/>
        <w:jc w:val="both"/>
        <w:rPr>
          <w:color w:val="000000" w:themeColor="text1"/>
          <w:sz w:val="24"/>
          <w:szCs w:val="24"/>
        </w:rPr>
      </w:pPr>
      <w:r w:rsidRPr="008D7C1C">
        <w:rPr>
          <w:color w:val="000000" w:themeColor="text1"/>
          <w:sz w:val="24"/>
          <w:szCs w:val="24"/>
        </w:rPr>
        <w:t>HB 458</w:t>
      </w:r>
      <w:r w:rsidR="00C84A48" w:rsidRPr="008D7C1C">
        <w:rPr>
          <w:color w:val="000000" w:themeColor="text1"/>
          <w:sz w:val="24"/>
          <w:szCs w:val="24"/>
        </w:rPr>
        <w:t xml:space="preserve"> Section:</w:t>
      </w:r>
      <w:r w:rsidR="00C84A48" w:rsidRPr="008D7C1C">
        <w:rPr>
          <w:color w:val="000000" w:themeColor="text1"/>
          <w:sz w:val="24"/>
          <w:szCs w:val="24"/>
        </w:rPr>
        <w:tab/>
        <w:t>3</w:t>
      </w:r>
    </w:p>
    <w:p w:rsidR="00C84A48" w:rsidRPr="00675C9B" w:rsidRDefault="00B17694" w:rsidP="006E5925">
      <w:pPr>
        <w:jc w:val="both"/>
        <w:rPr>
          <w:color w:val="000000" w:themeColor="text1"/>
          <w:sz w:val="24"/>
          <w:szCs w:val="24"/>
        </w:rPr>
      </w:pPr>
      <w:r>
        <w:rPr>
          <w:color w:val="000000" w:themeColor="text1"/>
          <w:sz w:val="24"/>
          <w:szCs w:val="24"/>
        </w:rPr>
        <w:t>Effective January 1, 2019, a</w:t>
      </w:r>
      <w:r w:rsidR="000656BE" w:rsidRPr="00675C9B">
        <w:rPr>
          <w:color w:val="000000" w:themeColor="text1"/>
          <w:sz w:val="24"/>
          <w:szCs w:val="24"/>
        </w:rPr>
        <w:t xml:space="preserve"> new check-off allows individual taxpayers to designate a portion of their refund to the YMCA.</w:t>
      </w:r>
    </w:p>
    <w:p w:rsidR="00675C9B" w:rsidRDefault="00675C9B" w:rsidP="000656BE">
      <w:pPr>
        <w:pStyle w:val="Heading3"/>
      </w:pPr>
    </w:p>
    <w:p w:rsidR="00B17694" w:rsidRDefault="00B17694">
      <w:pPr>
        <w:rPr>
          <w:rFonts w:asciiTheme="majorHAnsi" w:eastAsiaTheme="majorEastAsia" w:hAnsiTheme="majorHAnsi" w:cstheme="majorBidi"/>
          <w:color w:val="2E74B5" w:themeColor="accent1" w:themeShade="BF"/>
          <w:sz w:val="28"/>
          <w:szCs w:val="28"/>
        </w:rPr>
      </w:pPr>
      <w:r>
        <w:br w:type="page"/>
      </w:r>
    </w:p>
    <w:p w:rsidR="000656BE" w:rsidRDefault="000656BE" w:rsidP="000656BE">
      <w:pPr>
        <w:pStyle w:val="Heading3"/>
      </w:pPr>
      <w:bookmarkStart w:id="12" w:name="_Toc5285474"/>
      <w:r>
        <w:lastRenderedPageBreak/>
        <w:t>Corporation Deferred Tax Deduction</w:t>
      </w:r>
      <w:bookmarkEnd w:id="12"/>
    </w:p>
    <w:p w:rsidR="000656BE" w:rsidRPr="008D7C1C" w:rsidRDefault="008D7C1C" w:rsidP="008D7C1C">
      <w:pPr>
        <w:ind w:left="720"/>
        <w:contextualSpacing/>
        <w:jc w:val="both"/>
        <w:rPr>
          <w:color w:val="000000" w:themeColor="text1"/>
          <w:sz w:val="24"/>
          <w:szCs w:val="24"/>
        </w:rPr>
      </w:pPr>
      <w:r w:rsidRPr="008D7C1C">
        <w:rPr>
          <w:color w:val="000000" w:themeColor="text1"/>
          <w:sz w:val="24"/>
          <w:szCs w:val="24"/>
        </w:rPr>
        <w:t>HB 458</w:t>
      </w:r>
      <w:r w:rsidR="000656BE" w:rsidRPr="008D7C1C">
        <w:rPr>
          <w:color w:val="000000" w:themeColor="text1"/>
          <w:sz w:val="24"/>
          <w:szCs w:val="24"/>
        </w:rPr>
        <w:t xml:space="preserve"> Section:</w:t>
      </w:r>
      <w:r w:rsidR="000656BE" w:rsidRPr="008D7C1C">
        <w:rPr>
          <w:color w:val="000000" w:themeColor="text1"/>
          <w:sz w:val="24"/>
          <w:szCs w:val="24"/>
        </w:rPr>
        <w:tab/>
        <w:t>4</w:t>
      </w:r>
    </w:p>
    <w:p w:rsidR="00377898" w:rsidRDefault="000656BE" w:rsidP="00675C9B">
      <w:pPr>
        <w:jc w:val="both"/>
        <w:rPr>
          <w:color w:val="000000" w:themeColor="text1"/>
          <w:sz w:val="24"/>
          <w:szCs w:val="24"/>
        </w:rPr>
      </w:pPr>
      <w:r w:rsidRPr="00675C9B">
        <w:rPr>
          <w:color w:val="000000" w:themeColor="text1"/>
          <w:sz w:val="24"/>
          <w:szCs w:val="24"/>
        </w:rPr>
        <w:t>A new corporation tax deduction allows publicly traded taxpayers to offset the effects of combined reporting tax changes for financial statement reporting purposes beginning in 2024.</w:t>
      </w:r>
    </w:p>
    <w:p w:rsidR="00B17694" w:rsidRDefault="00B17694" w:rsidP="00396209">
      <w:pPr>
        <w:pStyle w:val="Heading3"/>
      </w:pPr>
    </w:p>
    <w:p w:rsidR="00377898" w:rsidRDefault="00377898" w:rsidP="00396209">
      <w:pPr>
        <w:pStyle w:val="Heading3"/>
      </w:pPr>
      <w:bookmarkStart w:id="13" w:name="_Toc5285475"/>
      <w:r>
        <w:t>Farmer Small Business Tax Credit</w:t>
      </w:r>
      <w:bookmarkEnd w:id="13"/>
    </w:p>
    <w:p w:rsidR="00377898" w:rsidRPr="008D7C1C" w:rsidRDefault="008D7C1C" w:rsidP="008D7C1C">
      <w:pPr>
        <w:ind w:left="720"/>
        <w:contextualSpacing/>
        <w:jc w:val="both"/>
        <w:rPr>
          <w:color w:val="000000" w:themeColor="text1"/>
          <w:sz w:val="24"/>
          <w:szCs w:val="24"/>
        </w:rPr>
      </w:pPr>
      <w:r w:rsidRPr="008D7C1C">
        <w:rPr>
          <w:color w:val="000000" w:themeColor="text1"/>
          <w:sz w:val="24"/>
          <w:szCs w:val="24"/>
        </w:rPr>
        <w:t>SB 246</w:t>
      </w:r>
      <w:r w:rsidR="00377898" w:rsidRPr="008D7C1C">
        <w:rPr>
          <w:color w:val="000000" w:themeColor="text1"/>
          <w:sz w:val="24"/>
          <w:szCs w:val="24"/>
        </w:rPr>
        <w:t xml:space="preserve"> Sections:</w:t>
      </w:r>
      <w:r w:rsidR="00377898" w:rsidRPr="008D7C1C">
        <w:rPr>
          <w:color w:val="000000" w:themeColor="text1"/>
          <w:sz w:val="24"/>
          <w:szCs w:val="24"/>
        </w:rPr>
        <w:tab/>
        <w:t>1 through 9</w:t>
      </w:r>
    </w:p>
    <w:p w:rsidR="00EA3EC4" w:rsidRDefault="00377898" w:rsidP="00675C9B">
      <w:pPr>
        <w:jc w:val="both"/>
        <w:rPr>
          <w:rFonts w:asciiTheme="majorHAnsi" w:eastAsiaTheme="majorEastAsia" w:hAnsiTheme="majorHAnsi" w:cstheme="majorBidi"/>
          <w:color w:val="1F4E79" w:themeColor="accent1" w:themeShade="80"/>
          <w:sz w:val="36"/>
          <w:szCs w:val="36"/>
        </w:rPr>
      </w:pPr>
      <w:r>
        <w:rPr>
          <w:color w:val="000000" w:themeColor="text1"/>
          <w:sz w:val="24"/>
          <w:szCs w:val="24"/>
        </w:rPr>
        <w:t xml:space="preserve">The Small Business Tax Credit program eligibility requirements have been expanded to assist farmers selling active agricultural land and assets to a beginning farmer. The credit is shared between the two programs and </w:t>
      </w:r>
      <w:r w:rsidR="00396209">
        <w:rPr>
          <w:color w:val="000000" w:themeColor="text1"/>
          <w:sz w:val="24"/>
          <w:szCs w:val="24"/>
        </w:rPr>
        <w:t>is limited to $25,000 per selling farmer in a calendar year.</w:t>
      </w:r>
      <w:r w:rsidR="00B17694">
        <w:rPr>
          <w:color w:val="000000" w:themeColor="text1"/>
          <w:sz w:val="24"/>
          <w:szCs w:val="24"/>
        </w:rPr>
        <w:t xml:space="preserve"> This provision is effective</w:t>
      </w:r>
      <w:r w:rsidR="004805CF">
        <w:rPr>
          <w:color w:val="000000" w:themeColor="text1"/>
          <w:sz w:val="24"/>
          <w:szCs w:val="24"/>
        </w:rPr>
        <w:t xml:space="preserve"> March 26, 2019.</w:t>
      </w:r>
      <w:r w:rsidR="00EA3EC4">
        <w:br w:type="page"/>
      </w:r>
    </w:p>
    <w:p w:rsidR="00EA3EC4" w:rsidRPr="00E16D19" w:rsidRDefault="00EA3EC4" w:rsidP="00EA3EC4">
      <w:pPr>
        <w:pStyle w:val="Heading1"/>
        <w:jc w:val="center"/>
        <w:rPr>
          <w:b/>
        </w:rPr>
      </w:pPr>
      <w:bookmarkStart w:id="14" w:name="_Toc5285476"/>
      <w:r w:rsidRPr="00E16D19">
        <w:rPr>
          <w:b/>
        </w:rPr>
        <w:lastRenderedPageBreak/>
        <w:t>Modifications to HB 487</w:t>
      </w:r>
      <w:bookmarkEnd w:id="14"/>
    </w:p>
    <w:p w:rsidR="00EA3EC4" w:rsidRDefault="00EA3EC4" w:rsidP="006E5925">
      <w:pPr>
        <w:jc w:val="both"/>
        <w:rPr>
          <w:sz w:val="24"/>
          <w:szCs w:val="24"/>
        </w:rPr>
      </w:pPr>
    </w:p>
    <w:p w:rsidR="00EA3EC4" w:rsidRDefault="00EA3EC4" w:rsidP="006E5925">
      <w:pPr>
        <w:jc w:val="both"/>
        <w:rPr>
          <w:sz w:val="24"/>
          <w:szCs w:val="24"/>
        </w:rPr>
      </w:pPr>
      <w:r>
        <w:rPr>
          <w:sz w:val="24"/>
          <w:szCs w:val="24"/>
        </w:rPr>
        <w:t>HB 487 introduced the most sweeping reform of Kentucky’s tax laws in over a decade. However, some provisions in the bill need</w:t>
      </w:r>
      <w:r w:rsidR="008B3939">
        <w:rPr>
          <w:sz w:val="24"/>
          <w:szCs w:val="24"/>
        </w:rPr>
        <w:t>ed</w:t>
      </w:r>
      <w:r>
        <w:rPr>
          <w:sz w:val="24"/>
          <w:szCs w:val="24"/>
        </w:rPr>
        <w:t xml:space="preserve"> to be</w:t>
      </w:r>
      <w:r w:rsidR="00B73881">
        <w:rPr>
          <w:sz w:val="24"/>
          <w:szCs w:val="24"/>
        </w:rPr>
        <w:t xml:space="preserve"> modified for efficiency and fairness</w:t>
      </w:r>
      <w:r>
        <w:rPr>
          <w:sz w:val="24"/>
          <w:szCs w:val="24"/>
        </w:rPr>
        <w:t>.</w:t>
      </w:r>
    </w:p>
    <w:p w:rsidR="00EA3EC4" w:rsidRDefault="00EA3EC4" w:rsidP="006E5925">
      <w:pPr>
        <w:jc w:val="both"/>
        <w:rPr>
          <w:sz w:val="24"/>
          <w:szCs w:val="24"/>
        </w:rPr>
      </w:pPr>
    </w:p>
    <w:p w:rsidR="00EA3EC4" w:rsidRPr="00E16D19" w:rsidRDefault="00EA3EC4" w:rsidP="00EA3EC4">
      <w:pPr>
        <w:pStyle w:val="Heading2"/>
        <w:rPr>
          <w:u w:val="single"/>
        </w:rPr>
      </w:pPr>
      <w:bookmarkStart w:id="15" w:name="_Toc5285477"/>
      <w:r w:rsidRPr="00E16D19">
        <w:rPr>
          <w:u w:val="single"/>
        </w:rPr>
        <w:t>Restoration of Certain Provisions</w:t>
      </w:r>
      <w:bookmarkEnd w:id="15"/>
    </w:p>
    <w:p w:rsidR="00EA3EC4" w:rsidRDefault="00EA3EC4" w:rsidP="006E5925">
      <w:pPr>
        <w:jc w:val="both"/>
        <w:rPr>
          <w:sz w:val="24"/>
          <w:szCs w:val="24"/>
        </w:rPr>
      </w:pPr>
    </w:p>
    <w:p w:rsidR="00EA3EC4" w:rsidRDefault="001474D5" w:rsidP="00EA3EC4">
      <w:pPr>
        <w:pStyle w:val="Heading3"/>
      </w:pPr>
      <w:bookmarkStart w:id="16" w:name="_Toc5285478"/>
      <w:r>
        <w:t>Individual</w:t>
      </w:r>
      <w:r w:rsidR="00EA3EC4">
        <w:t xml:space="preserve"> Itemized Deductions</w:t>
      </w:r>
      <w:bookmarkEnd w:id="16"/>
    </w:p>
    <w:p w:rsidR="00EA3EC4" w:rsidRDefault="008D7C1C" w:rsidP="008D7C1C">
      <w:pPr>
        <w:ind w:left="720"/>
        <w:contextualSpacing/>
        <w:jc w:val="both"/>
        <w:rPr>
          <w:sz w:val="24"/>
          <w:szCs w:val="24"/>
        </w:rPr>
      </w:pPr>
      <w:r>
        <w:rPr>
          <w:sz w:val="24"/>
          <w:szCs w:val="24"/>
        </w:rPr>
        <w:t>HB 354</w:t>
      </w:r>
      <w:r w:rsidR="00B73881">
        <w:rPr>
          <w:sz w:val="24"/>
          <w:szCs w:val="24"/>
        </w:rPr>
        <w:t xml:space="preserve"> Sections</w:t>
      </w:r>
      <w:r w:rsidR="00EA3EC4">
        <w:rPr>
          <w:sz w:val="24"/>
          <w:szCs w:val="24"/>
        </w:rPr>
        <w:t>:</w:t>
      </w:r>
      <w:r w:rsidR="00EA3EC4">
        <w:rPr>
          <w:sz w:val="24"/>
          <w:szCs w:val="24"/>
        </w:rPr>
        <w:tab/>
      </w:r>
      <w:r w:rsidR="00B73881">
        <w:rPr>
          <w:sz w:val="24"/>
          <w:szCs w:val="24"/>
        </w:rPr>
        <w:t>37 and 83</w:t>
      </w:r>
    </w:p>
    <w:p w:rsidR="00EA3EC4" w:rsidRDefault="00B17694" w:rsidP="006E5925">
      <w:pPr>
        <w:jc w:val="both"/>
        <w:rPr>
          <w:sz w:val="24"/>
          <w:szCs w:val="24"/>
        </w:rPr>
      </w:pPr>
      <w:r>
        <w:rPr>
          <w:sz w:val="24"/>
          <w:szCs w:val="24"/>
        </w:rPr>
        <w:t>Effective January 1, 2019, i</w:t>
      </w:r>
      <w:r w:rsidR="00EA3EC4">
        <w:rPr>
          <w:sz w:val="24"/>
          <w:szCs w:val="24"/>
        </w:rPr>
        <w:t>nvestment interest paid to generate taxable income</w:t>
      </w:r>
      <w:r w:rsidR="00B73881">
        <w:rPr>
          <w:sz w:val="24"/>
          <w:szCs w:val="24"/>
        </w:rPr>
        <w:t xml:space="preserve"> and gambling losses incurred to produce </w:t>
      </w:r>
      <w:r w:rsidR="0043551D">
        <w:rPr>
          <w:sz w:val="24"/>
          <w:szCs w:val="24"/>
        </w:rPr>
        <w:t xml:space="preserve">taxable </w:t>
      </w:r>
      <w:r w:rsidR="00B73881">
        <w:rPr>
          <w:sz w:val="24"/>
          <w:szCs w:val="24"/>
        </w:rPr>
        <w:t>gambling winnings</w:t>
      </w:r>
      <w:r w:rsidR="00EA3EC4">
        <w:rPr>
          <w:sz w:val="24"/>
          <w:szCs w:val="24"/>
        </w:rPr>
        <w:t xml:space="preserve"> are permitted </w:t>
      </w:r>
      <w:r w:rsidR="0043551D">
        <w:rPr>
          <w:sz w:val="24"/>
          <w:szCs w:val="24"/>
        </w:rPr>
        <w:t xml:space="preserve">by </w:t>
      </w:r>
      <w:r w:rsidR="00D34FCB">
        <w:rPr>
          <w:sz w:val="24"/>
          <w:szCs w:val="24"/>
        </w:rPr>
        <w:t>federal law</w:t>
      </w:r>
      <w:r w:rsidR="00EA3EC4">
        <w:rPr>
          <w:sz w:val="24"/>
          <w:szCs w:val="24"/>
        </w:rPr>
        <w:t xml:space="preserve"> and restored for the benefit of Kentucky</w:t>
      </w:r>
      <w:r w:rsidR="00EE36D5">
        <w:rPr>
          <w:sz w:val="24"/>
          <w:szCs w:val="24"/>
        </w:rPr>
        <w:t>’s</w:t>
      </w:r>
      <w:r w:rsidR="00EA3EC4">
        <w:rPr>
          <w:sz w:val="24"/>
          <w:szCs w:val="24"/>
        </w:rPr>
        <w:t xml:space="preserve"> individual taxpayers.</w:t>
      </w:r>
    </w:p>
    <w:p w:rsidR="00EA3EC4" w:rsidRDefault="00EA3EC4" w:rsidP="006E5925">
      <w:pPr>
        <w:jc w:val="both"/>
        <w:rPr>
          <w:sz w:val="24"/>
          <w:szCs w:val="24"/>
        </w:rPr>
      </w:pPr>
    </w:p>
    <w:p w:rsidR="00E66A5B" w:rsidRDefault="00E66A5B" w:rsidP="00E66A5B">
      <w:pPr>
        <w:pStyle w:val="Heading3"/>
      </w:pPr>
      <w:bookmarkStart w:id="17" w:name="_Toc5285479"/>
      <w:r>
        <w:t>Family-Sized Tax Credit Enhancement</w:t>
      </w:r>
      <w:bookmarkEnd w:id="17"/>
    </w:p>
    <w:p w:rsidR="00E66A5B" w:rsidRDefault="008D7C1C" w:rsidP="008D7C1C">
      <w:pPr>
        <w:ind w:left="720"/>
        <w:contextualSpacing/>
        <w:jc w:val="both"/>
        <w:rPr>
          <w:sz w:val="24"/>
          <w:szCs w:val="24"/>
        </w:rPr>
      </w:pPr>
      <w:r>
        <w:rPr>
          <w:sz w:val="24"/>
          <w:szCs w:val="24"/>
        </w:rPr>
        <w:t>HB 354</w:t>
      </w:r>
      <w:r w:rsidR="00E66A5B">
        <w:rPr>
          <w:sz w:val="24"/>
          <w:szCs w:val="24"/>
        </w:rPr>
        <w:t xml:space="preserve"> Section</w:t>
      </w:r>
      <w:r w:rsidR="00343543">
        <w:rPr>
          <w:sz w:val="24"/>
          <w:szCs w:val="24"/>
        </w:rPr>
        <w:t>s</w:t>
      </w:r>
      <w:r w:rsidR="00E66A5B">
        <w:rPr>
          <w:sz w:val="24"/>
          <w:szCs w:val="24"/>
        </w:rPr>
        <w:t>:</w:t>
      </w:r>
      <w:r w:rsidR="00E66A5B">
        <w:rPr>
          <w:sz w:val="24"/>
          <w:szCs w:val="24"/>
        </w:rPr>
        <w:tab/>
        <w:t>43</w:t>
      </w:r>
      <w:r w:rsidR="0043551D">
        <w:rPr>
          <w:sz w:val="24"/>
          <w:szCs w:val="24"/>
        </w:rPr>
        <w:t>, 79,</w:t>
      </w:r>
      <w:r w:rsidR="00343543">
        <w:rPr>
          <w:sz w:val="24"/>
          <w:szCs w:val="24"/>
        </w:rPr>
        <w:t xml:space="preserve"> and 88</w:t>
      </w:r>
    </w:p>
    <w:p w:rsidR="00E66A5B" w:rsidRDefault="00E66A5B" w:rsidP="006E5925">
      <w:pPr>
        <w:jc w:val="both"/>
        <w:rPr>
          <w:sz w:val="24"/>
          <w:szCs w:val="24"/>
        </w:rPr>
      </w:pPr>
      <w:r>
        <w:rPr>
          <w:sz w:val="24"/>
          <w:szCs w:val="24"/>
        </w:rPr>
        <w:t>The change to a flat 5% income tax rate and the elimination of graduated income tax rates affected a small number of taxpayers eligible for the family-sized tax credit. The</w:t>
      </w:r>
      <w:r w:rsidR="00D34FCB">
        <w:rPr>
          <w:sz w:val="24"/>
          <w:szCs w:val="24"/>
        </w:rPr>
        <w:t>se</w:t>
      </w:r>
      <w:r>
        <w:rPr>
          <w:sz w:val="24"/>
          <w:szCs w:val="24"/>
        </w:rPr>
        <w:t xml:space="preserve"> enhanced credit provisions will be evaluated over the next two years to determine the efficiency of this approach.</w:t>
      </w:r>
      <w:r w:rsidR="0042794F">
        <w:rPr>
          <w:sz w:val="24"/>
          <w:szCs w:val="24"/>
        </w:rPr>
        <w:t xml:space="preserve"> This provision is effective for </w:t>
      </w:r>
      <w:r w:rsidR="00B17694">
        <w:rPr>
          <w:sz w:val="24"/>
          <w:szCs w:val="24"/>
        </w:rPr>
        <w:t xml:space="preserve">tax years </w:t>
      </w:r>
      <w:r w:rsidR="0042794F">
        <w:rPr>
          <w:sz w:val="24"/>
          <w:szCs w:val="24"/>
        </w:rPr>
        <w:t>2019 and 2020.</w:t>
      </w:r>
    </w:p>
    <w:p w:rsidR="00E66A5B" w:rsidRDefault="00E66A5B" w:rsidP="006E5925">
      <w:pPr>
        <w:jc w:val="both"/>
        <w:rPr>
          <w:sz w:val="24"/>
          <w:szCs w:val="24"/>
        </w:rPr>
      </w:pPr>
    </w:p>
    <w:p w:rsidR="00CF5055" w:rsidRDefault="00CF5055" w:rsidP="00CF5055">
      <w:pPr>
        <w:pStyle w:val="Heading3"/>
      </w:pPr>
      <w:bookmarkStart w:id="18" w:name="_Toc5285480"/>
      <w:r>
        <w:t>Manufacturing Toller Energy Tax Exemptions</w:t>
      </w:r>
      <w:bookmarkEnd w:id="18"/>
    </w:p>
    <w:p w:rsidR="00CF5055" w:rsidRDefault="008D7C1C" w:rsidP="008D7C1C">
      <w:pPr>
        <w:ind w:left="720"/>
        <w:contextualSpacing/>
        <w:jc w:val="both"/>
        <w:rPr>
          <w:sz w:val="24"/>
          <w:szCs w:val="24"/>
        </w:rPr>
      </w:pPr>
      <w:r>
        <w:rPr>
          <w:sz w:val="24"/>
          <w:szCs w:val="24"/>
        </w:rPr>
        <w:t>HB 354</w:t>
      </w:r>
      <w:r w:rsidR="00747441">
        <w:rPr>
          <w:sz w:val="24"/>
          <w:szCs w:val="24"/>
        </w:rPr>
        <w:t xml:space="preserve"> Sections</w:t>
      </w:r>
      <w:r w:rsidR="00CF5055">
        <w:rPr>
          <w:sz w:val="24"/>
          <w:szCs w:val="24"/>
        </w:rPr>
        <w:t>:</w:t>
      </w:r>
      <w:r w:rsidR="00CF5055">
        <w:rPr>
          <w:sz w:val="24"/>
          <w:szCs w:val="24"/>
        </w:rPr>
        <w:tab/>
      </w:r>
      <w:r w:rsidR="00B73881">
        <w:rPr>
          <w:sz w:val="24"/>
          <w:szCs w:val="24"/>
        </w:rPr>
        <w:t>27, 74, 75, 82, 86, and 87</w:t>
      </w:r>
    </w:p>
    <w:p w:rsidR="00CF5055" w:rsidRDefault="00CF5055" w:rsidP="006E5925">
      <w:pPr>
        <w:jc w:val="both"/>
        <w:rPr>
          <w:sz w:val="24"/>
          <w:szCs w:val="24"/>
        </w:rPr>
      </w:pPr>
      <w:r>
        <w:rPr>
          <w:sz w:val="24"/>
          <w:szCs w:val="24"/>
        </w:rPr>
        <w:t xml:space="preserve">HB 487 effectively eliminated legitimate manufacturing arrangements (called </w:t>
      </w:r>
      <w:r w:rsidR="00EE36D5">
        <w:rPr>
          <w:sz w:val="24"/>
          <w:szCs w:val="24"/>
        </w:rPr>
        <w:t>“</w:t>
      </w:r>
      <w:r>
        <w:rPr>
          <w:sz w:val="24"/>
          <w:szCs w:val="24"/>
        </w:rPr>
        <w:t>tolling</w:t>
      </w:r>
      <w:r w:rsidR="00EE36D5">
        <w:rPr>
          <w:sz w:val="24"/>
          <w:szCs w:val="24"/>
        </w:rPr>
        <w:t>”</w:t>
      </w:r>
      <w:r>
        <w:rPr>
          <w:sz w:val="24"/>
          <w:szCs w:val="24"/>
        </w:rPr>
        <w:t xml:space="preserve"> or </w:t>
      </w:r>
      <w:r w:rsidR="00EE36D5">
        <w:rPr>
          <w:sz w:val="24"/>
          <w:szCs w:val="24"/>
        </w:rPr>
        <w:t>“</w:t>
      </w:r>
      <w:r>
        <w:rPr>
          <w:sz w:val="24"/>
          <w:szCs w:val="24"/>
        </w:rPr>
        <w:t>tollers</w:t>
      </w:r>
      <w:r w:rsidR="00EE36D5">
        <w:rPr>
          <w:sz w:val="24"/>
          <w:szCs w:val="24"/>
        </w:rPr>
        <w:t>”</w:t>
      </w:r>
      <w:r>
        <w:rPr>
          <w:sz w:val="24"/>
          <w:szCs w:val="24"/>
        </w:rPr>
        <w:t xml:space="preserve">) </w:t>
      </w:r>
      <w:r w:rsidR="0043551D">
        <w:rPr>
          <w:sz w:val="24"/>
          <w:szCs w:val="24"/>
        </w:rPr>
        <w:t xml:space="preserve">from </w:t>
      </w:r>
      <w:r w:rsidR="00007D91">
        <w:rPr>
          <w:sz w:val="24"/>
          <w:szCs w:val="24"/>
        </w:rPr>
        <w:t>Energy Direct Pay Exemption</w:t>
      </w:r>
      <w:r w:rsidR="0043551D">
        <w:rPr>
          <w:sz w:val="24"/>
          <w:szCs w:val="24"/>
        </w:rPr>
        <w:t xml:space="preserve"> provision</w:t>
      </w:r>
      <w:r w:rsidR="00007D91">
        <w:rPr>
          <w:sz w:val="24"/>
          <w:szCs w:val="24"/>
        </w:rPr>
        <w:t>s</w:t>
      </w:r>
      <w:r w:rsidR="0043551D">
        <w:rPr>
          <w:sz w:val="24"/>
          <w:szCs w:val="24"/>
        </w:rPr>
        <w:t xml:space="preserve"> </w:t>
      </w:r>
      <w:r>
        <w:rPr>
          <w:sz w:val="24"/>
          <w:szCs w:val="24"/>
        </w:rPr>
        <w:t xml:space="preserve">and increased energy costs for some of Kentucky’s largest </w:t>
      </w:r>
      <w:r w:rsidR="001474D5">
        <w:rPr>
          <w:sz w:val="24"/>
          <w:szCs w:val="24"/>
        </w:rPr>
        <w:t xml:space="preserve">manufacturing </w:t>
      </w:r>
      <w:r>
        <w:rPr>
          <w:sz w:val="24"/>
          <w:szCs w:val="24"/>
        </w:rPr>
        <w:t xml:space="preserve">employers. This provision restores the benefit to legitimate </w:t>
      </w:r>
      <w:r w:rsidR="001474D5">
        <w:rPr>
          <w:sz w:val="24"/>
          <w:szCs w:val="24"/>
        </w:rPr>
        <w:t>tollers</w:t>
      </w:r>
      <w:r>
        <w:rPr>
          <w:sz w:val="24"/>
          <w:szCs w:val="24"/>
        </w:rPr>
        <w:t xml:space="preserve"> and tightens requirements to prohibit abuse in the future. This effects </w:t>
      </w:r>
      <w:r w:rsidR="001C3281">
        <w:rPr>
          <w:sz w:val="24"/>
          <w:szCs w:val="24"/>
        </w:rPr>
        <w:t xml:space="preserve">the sales </w:t>
      </w:r>
      <w:r w:rsidR="00747441">
        <w:rPr>
          <w:sz w:val="24"/>
          <w:szCs w:val="24"/>
        </w:rPr>
        <w:t>tax and</w:t>
      </w:r>
      <w:r w:rsidR="001C3281">
        <w:rPr>
          <w:sz w:val="24"/>
          <w:szCs w:val="24"/>
        </w:rPr>
        <w:t xml:space="preserve"> utility gross receipts </w:t>
      </w:r>
      <w:r w:rsidR="005C786E">
        <w:rPr>
          <w:sz w:val="24"/>
          <w:szCs w:val="24"/>
        </w:rPr>
        <w:t xml:space="preserve">license </w:t>
      </w:r>
      <w:r w:rsidR="001C3281">
        <w:rPr>
          <w:sz w:val="24"/>
          <w:szCs w:val="24"/>
        </w:rPr>
        <w:t>tax</w:t>
      </w:r>
      <w:r w:rsidR="00007D91">
        <w:rPr>
          <w:sz w:val="24"/>
          <w:szCs w:val="24"/>
        </w:rPr>
        <w:t>es</w:t>
      </w:r>
      <w:r w:rsidR="00B17694">
        <w:rPr>
          <w:sz w:val="24"/>
          <w:szCs w:val="24"/>
        </w:rPr>
        <w:t xml:space="preserve"> and is effective July 1, 2019.</w:t>
      </w:r>
    </w:p>
    <w:p w:rsidR="00CF5055" w:rsidRDefault="00CF5055" w:rsidP="006E5925">
      <w:pPr>
        <w:jc w:val="both"/>
        <w:rPr>
          <w:sz w:val="24"/>
          <w:szCs w:val="24"/>
        </w:rPr>
      </w:pPr>
    </w:p>
    <w:p w:rsidR="005B77A0" w:rsidRDefault="005B77A0" w:rsidP="005B77A0">
      <w:pPr>
        <w:pStyle w:val="Heading3"/>
      </w:pPr>
      <w:bookmarkStart w:id="19" w:name="_Toc5285481"/>
      <w:r>
        <w:t>TVA-in-lieu-of Payment Administration</w:t>
      </w:r>
      <w:bookmarkEnd w:id="19"/>
    </w:p>
    <w:p w:rsidR="005B77A0" w:rsidRDefault="008D7C1C" w:rsidP="008D7C1C">
      <w:pPr>
        <w:ind w:left="720"/>
        <w:contextualSpacing/>
        <w:jc w:val="both"/>
        <w:rPr>
          <w:sz w:val="24"/>
          <w:szCs w:val="24"/>
        </w:rPr>
      </w:pPr>
      <w:r>
        <w:rPr>
          <w:sz w:val="24"/>
          <w:szCs w:val="24"/>
        </w:rPr>
        <w:t>HB 354</w:t>
      </w:r>
      <w:r w:rsidR="00747441">
        <w:rPr>
          <w:sz w:val="24"/>
          <w:szCs w:val="24"/>
        </w:rPr>
        <w:t xml:space="preserve"> Section</w:t>
      </w:r>
      <w:r w:rsidR="005B77A0">
        <w:rPr>
          <w:sz w:val="24"/>
          <w:szCs w:val="24"/>
        </w:rPr>
        <w:t>:</w:t>
      </w:r>
      <w:r w:rsidR="005B77A0">
        <w:rPr>
          <w:sz w:val="24"/>
          <w:szCs w:val="24"/>
        </w:rPr>
        <w:tab/>
      </w:r>
      <w:r w:rsidR="0032277B">
        <w:rPr>
          <w:sz w:val="24"/>
          <w:szCs w:val="24"/>
        </w:rPr>
        <w:t>2</w:t>
      </w:r>
    </w:p>
    <w:p w:rsidR="005B77A0" w:rsidRDefault="005B77A0" w:rsidP="006E5925">
      <w:pPr>
        <w:jc w:val="both"/>
        <w:rPr>
          <w:sz w:val="24"/>
          <w:szCs w:val="24"/>
        </w:rPr>
      </w:pPr>
      <w:r>
        <w:rPr>
          <w:sz w:val="24"/>
          <w:szCs w:val="24"/>
        </w:rPr>
        <w:t xml:space="preserve">Certain tasks related to the administration of Tennessee Valley Authority receipts </w:t>
      </w:r>
      <w:r w:rsidR="00EE36D5">
        <w:rPr>
          <w:sz w:val="24"/>
          <w:szCs w:val="24"/>
        </w:rPr>
        <w:t>are</w:t>
      </w:r>
      <w:r>
        <w:rPr>
          <w:sz w:val="24"/>
          <w:szCs w:val="24"/>
        </w:rPr>
        <w:t xml:space="preserve"> returned </w:t>
      </w:r>
      <w:r w:rsidR="00EE36D5">
        <w:rPr>
          <w:sz w:val="24"/>
          <w:szCs w:val="24"/>
        </w:rPr>
        <w:t xml:space="preserve">to the Department of Revenue </w:t>
      </w:r>
      <w:r>
        <w:rPr>
          <w:sz w:val="24"/>
          <w:szCs w:val="24"/>
        </w:rPr>
        <w:t>from the Department of Local Government</w:t>
      </w:r>
      <w:r w:rsidR="001A6583">
        <w:rPr>
          <w:sz w:val="24"/>
          <w:szCs w:val="24"/>
        </w:rPr>
        <w:t xml:space="preserve"> for efficiency</w:t>
      </w:r>
      <w:r>
        <w:rPr>
          <w:sz w:val="24"/>
          <w:szCs w:val="24"/>
        </w:rPr>
        <w:t>.</w:t>
      </w:r>
    </w:p>
    <w:p w:rsidR="00BE58E8" w:rsidRDefault="00BE58E8" w:rsidP="006E5925">
      <w:pPr>
        <w:jc w:val="both"/>
        <w:rPr>
          <w:sz w:val="24"/>
          <w:szCs w:val="24"/>
        </w:rPr>
      </w:pPr>
    </w:p>
    <w:p w:rsidR="00BE58E8" w:rsidRDefault="00BE58E8" w:rsidP="00BE58E8">
      <w:pPr>
        <w:pStyle w:val="Heading3"/>
      </w:pPr>
      <w:bookmarkStart w:id="20" w:name="_Toc5285482"/>
      <w:r>
        <w:lastRenderedPageBreak/>
        <w:t>Fishing Tournaments and Warranty Contracts</w:t>
      </w:r>
      <w:bookmarkEnd w:id="20"/>
    </w:p>
    <w:p w:rsidR="00BE58E8" w:rsidRDefault="008D7C1C" w:rsidP="008D7C1C">
      <w:pPr>
        <w:ind w:left="720"/>
        <w:contextualSpacing/>
        <w:jc w:val="both"/>
        <w:rPr>
          <w:sz w:val="24"/>
          <w:szCs w:val="24"/>
        </w:rPr>
      </w:pPr>
      <w:r>
        <w:rPr>
          <w:sz w:val="24"/>
          <w:szCs w:val="24"/>
        </w:rPr>
        <w:t>HB 354</w:t>
      </w:r>
      <w:r w:rsidR="00BE58E8">
        <w:rPr>
          <w:sz w:val="24"/>
          <w:szCs w:val="24"/>
        </w:rPr>
        <w:t xml:space="preserve"> Sections:</w:t>
      </w:r>
      <w:r w:rsidR="00BE58E8">
        <w:rPr>
          <w:sz w:val="24"/>
          <w:szCs w:val="24"/>
        </w:rPr>
        <w:tab/>
        <w:t>19 and 82</w:t>
      </w:r>
    </w:p>
    <w:p w:rsidR="00BE58E8" w:rsidRDefault="00BE58E8" w:rsidP="006E5925">
      <w:pPr>
        <w:jc w:val="both"/>
        <w:rPr>
          <w:sz w:val="24"/>
          <w:szCs w:val="24"/>
        </w:rPr>
      </w:pPr>
      <w:r>
        <w:rPr>
          <w:sz w:val="24"/>
          <w:szCs w:val="24"/>
        </w:rPr>
        <w:t>Fishing tournament</w:t>
      </w:r>
      <w:r w:rsidR="005E4EDC">
        <w:rPr>
          <w:sz w:val="24"/>
          <w:szCs w:val="24"/>
        </w:rPr>
        <w:t xml:space="preserve"> entry fees</w:t>
      </w:r>
      <w:r>
        <w:rPr>
          <w:sz w:val="24"/>
          <w:szCs w:val="24"/>
        </w:rPr>
        <w:t>, boat ramp fees, and warranty contracts on certain telecommunications equipment are exempt from sales tax</w:t>
      </w:r>
      <w:r w:rsidR="00BE003D">
        <w:rPr>
          <w:sz w:val="24"/>
          <w:szCs w:val="24"/>
        </w:rPr>
        <w:t xml:space="preserve"> beginning July 1, 2019</w:t>
      </w:r>
      <w:r>
        <w:rPr>
          <w:sz w:val="24"/>
          <w:szCs w:val="24"/>
        </w:rPr>
        <w:t>.</w:t>
      </w:r>
    </w:p>
    <w:p w:rsidR="00240052" w:rsidRDefault="00240052" w:rsidP="006E5925">
      <w:pPr>
        <w:jc w:val="both"/>
        <w:rPr>
          <w:sz w:val="24"/>
          <w:szCs w:val="24"/>
        </w:rPr>
      </w:pPr>
    </w:p>
    <w:p w:rsidR="00240052" w:rsidRDefault="005E4EDC" w:rsidP="00240052">
      <w:pPr>
        <w:pStyle w:val="Heading3"/>
      </w:pPr>
      <w:bookmarkStart w:id="21" w:name="_Toc5285483"/>
      <w:r>
        <w:t xml:space="preserve">Economic Development Tax </w:t>
      </w:r>
      <w:r w:rsidR="00240052">
        <w:t>Credit Sunset Provisions</w:t>
      </w:r>
      <w:bookmarkEnd w:id="21"/>
    </w:p>
    <w:p w:rsidR="00240052" w:rsidRDefault="008D7C1C" w:rsidP="008D7C1C">
      <w:pPr>
        <w:ind w:left="720"/>
        <w:contextualSpacing/>
        <w:jc w:val="both"/>
        <w:rPr>
          <w:sz w:val="24"/>
          <w:szCs w:val="24"/>
        </w:rPr>
      </w:pPr>
      <w:r>
        <w:rPr>
          <w:sz w:val="24"/>
          <w:szCs w:val="24"/>
        </w:rPr>
        <w:t>HB 354</w:t>
      </w:r>
      <w:r w:rsidR="00240052">
        <w:rPr>
          <w:sz w:val="24"/>
          <w:szCs w:val="24"/>
        </w:rPr>
        <w:t xml:space="preserve"> Sections:</w:t>
      </w:r>
      <w:r w:rsidR="00240052">
        <w:rPr>
          <w:sz w:val="24"/>
          <w:szCs w:val="24"/>
        </w:rPr>
        <w:tab/>
        <w:t>61, 62, 67, and 85</w:t>
      </w:r>
    </w:p>
    <w:p w:rsidR="00240052" w:rsidRDefault="00240052" w:rsidP="006E5925">
      <w:pPr>
        <w:jc w:val="both"/>
        <w:rPr>
          <w:sz w:val="24"/>
          <w:szCs w:val="24"/>
        </w:rPr>
      </w:pPr>
      <w:r>
        <w:rPr>
          <w:sz w:val="24"/>
          <w:szCs w:val="24"/>
        </w:rPr>
        <w:t xml:space="preserve">These changes update </w:t>
      </w:r>
      <w:r w:rsidR="0043551D">
        <w:rPr>
          <w:sz w:val="24"/>
          <w:szCs w:val="24"/>
        </w:rPr>
        <w:t xml:space="preserve">sunset </w:t>
      </w:r>
      <w:r>
        <w:rPr>
          <w:sz w:val="24"/>
          <w:szCs w:val="24"/>
        </w:rPr>
        <w:t xml:space="preserve">date discrepancies between HB 366 and HB 487 </w:t>
      </w:r>
      <w:r w:rsidR="002850D9">
        <w:rPr>
          <w:sz w:val="24"/>
          <w:szCs w:val="24"/>
        </w:rPr>
        <w:t xml:space="preserve">that both </w:t>
      </w:r>
      <w:r>
        <w:rPr>
          <w:sz w:val="24"/>
          <w:szCs w:val="24"/>
        </w:rPr>
        <w:t>passed in 2018.</w:t>
      </w:r>
      <w:r w:rsidR="00BE003D">
        <w:rPr>
          <w:sz w:val="24"/>
          <w:szCs w:val="24"/>
        </w:rPr>
        <w:t xml:space="preserve"> The corrections are </w:t>
      </w:r>
      <w:r w:rsidR="00363EE6">
        <w:rPr>
          <w:sz w:val="24"/>
          <w:szCs w:val="24"/>
        </w:rPr>
        <w:t>backdated</w:t>
      </w:r>
      <w:r w:rsidR="00BE003D">
        <w:rPr>
          <w:sz w:val="24"/>
          <w:szCs w:val="24"/>
        </w:rPr>
        <w:t xml:space="preserve"> to April 14, 2018.</w:t>
      </w:r>
    </w:p>
    <w:p w:rsidR="00CF5055" w:rsidRDefault="00CF5055" w:rsidP="006E5925">
      <w:pPr>
        <w:jc w:val="both"/>
        <w:rPr>
          <w:sz w:val="24"/>
          <w:szCs w:val="24"/>
        </w:rPr>
      </w:pPr>
    </w:p>
    <w:p w:rsidR="00CF5055" w:rsidRPr="00E16D19" w:rsidRDefault="008014FD" w:rsidP="00CF5055">
      <w:pPr>
        <w:pStyle w:val="Heading2"/>
        <w:rPr>
          <w:u w:val="single"/>
        </w:rPr>
      </w:pPr>
      <w:bookmarkStart w:id="22" w:name="_Toc5285484"/>
      <w:r w:rsidRPr="00E16D19">
        <w:rPr>
          <w:u w:val="single"/>
        </w:rPr>
        <w:t>Enhancements</w:t>
      </w:r>
      <w:r w:rsidR="00CF5055" w:rsidRPr="00E16D19">
        <w:rPr>
          <w:u w:val="single"/>
        </w:rPr>
        <w:t xml:space="preserve"> to</w:t>
      </w:r>
      <w:r w:rsidRPr="00E16D19">
        <w:rPr>
          <w:u w:val="single"/>
        </w:rPr>
        <w:t xml:space="preserve"> HB 487</w:t>
      </w:r>
      <w:bookmarkEnd w:id="22"/>
    </w:p>
    <w:p w:rsidR="002850D9" w:rsidRDefault="002850D9" w:rsidP="002850D9">
      <w:pPr>
        <w:pStyle w:val="Heading3"/>
      </w:pPr>
    </w:p>
    <w:p w:rsidR="002850D9" w:rsidRDefault="002850D9" w:rsidP="002850D9">
      <w:pPr>
        <w:pStyle w:val="Heading3"/>
      </w:pPr>
      <w:bookmarkStart w:id="23" w:name="_Toc5285485"/>
      <w:r>
        <w:t>Unitary Business Combined Filing</w:t>
      </w:r>
      <w:bookmarkEnd w:id="23"/>
    </w:p>
    <w:p w:rsidR="008D7C1C" w:rsidRPr="00BC61F7" w:rsidRDefault="008D7C1C" w:rsidP="008D7C1C">
      <w:pPr>
        <w:ind w:left="720"/>
        <w:contextualSpacing/>
        <w:jc w:val="both"/>
        <w:rPr>
          <w:b/>
          <w:sz w:val="24"/>
          <w:szCs w:val="24"/>
        </w:rPr>
      </w:pPr>
      <w:r>
        <w:rPr>
          <w:sz w:val="24"/>
          <w:szCs w:val="24"/>
        </w:rPr>
        <w:t>HB 458 Section:</w:t>
      </w:r>
      <w:r>
        <w:rPr>
          <w:sz w:val="24"/>
          <w:szCs w:val="24"/>
        </w:rPr>
        <w:tab/>
        <w:t>5</w:t>
      </w:r>
    </w:p>
    <w:p w:rsidR="002850D9" w:rsidRDefault="00BE003D" w:rsidP="002850D9">
      <w:pPr>
        <w:jc w:val="both"/>
        <w:rPr>
          <w:sz w:val="24"/>
          <w:szCs w:val="24"/>
        </w:rPr>
      </w:pPr>
      <w:r>
        <w:rPr>
          <w:sz w:val="24"/>
          <w:szCs w:val="24"/>
        </w:rPr>
        <w:t>Effective January 1, 2019, s</w:t>
      </w:r>
      <w:r w:rsidR="002850D9">
        <w:rPr>
          <w:sz w:val="24"/>
          <w:szCs w:val="24"/>
        </w:rPr>
        <w:t>everal enhancements to the corporation income tax unitary business filing requirement were enacted to provide clarity as follows:</w:t>
      </w:r>
    </w:p>
    <w:p w:rsidR="002850D9" w:rsidRDefault="002850D9" w:rsidP="002850D9">
      <w:pPr>
        <w:pStyle w:val="ListParagraph"/>
        <w:numPr>
          <w:ilvl w:val="0"/>
          <w:numId w:val="1"/>
        </w:numPr>
        <w:jc w:val="both"/>
        <w:rPr>
          <w:sz w:val="24"/>
          <w:szCs w:val="24"/>
        </w:rPr>
      </w:pPr>
      <w:r>
        <w:rPr>
          <w:sz w:val="24"/>
          <w:szCs w:val="24"/>
        </w:rPr>
        <w:t>50% ownership requirement for unitary group members provides clear guidance for taxpayers and the Department of Revenue</w:t>
      </w:r>
    </w:p>
    <w:p w:rsidR="002850D9" w:rsidRDefault="002850D9" w:rsidP="002850D9">
      <w:pPr>
        <w:pStyle w:val="ListParagraph"/>
        <w:numPr>
          <w:ilvl w:val="0"/>
          <w:numId w:val="1"/>
        </w:numPr>
        <w:jc w:val="both"/>
        <w:rPr>
          <w:sz w:val="24"/>
          <w:szCs w:val="24"/>
        </w:rPr>
      </w:pPr>
      <w:r>
        <w:rPr>
          <w:sz w:val="24"/>
          <w:szCs w:val="24"/>
        </w:rPr>
        <w:t>“Tax haven” definition was updated to exclude countries with a tax treaty with the United States</w:t>
      </w:r>
    </w:p>
    <w:p w:rsidR="002850D9" w:rsidRDefault="002850D9" w:rsidP="002850D9">
      <w:pPr>
        <w:pStyle w:val="ListParagraph"/>
        <w:numPr>
          <w:ilvl w:val="0"/>
          <w:numId w:val="1"/>
        </w:numPr>
        <w:jc w:val="both"/>
        <w:rPr>
          <w:sz w:val="24"/>
          <w:szCs w:val="24"/>
        </w:rPr>
      </w:pPr>
      <w:r>
        <w:rPr>
          <w:sz w:val="24"/>
          <w:szCs w:val="24"/>
        </w:rPr>
        <w:t>Language clarifies that a waters-edge basis applies to unitary business group income</w:t>
      </w:r>
    </w:p>
    <w:p w:rsidR="002850D9" w:rsidRDefault="002850D9" w:rsidP="002850D9">
      <w:pPr>
        <w:pStyle w:val="ListParagraph"/>
        <w:numPr>
          <w:ilvl w:val="0"/>
          <w:numId w:val="1"/>
        </w:numPr>
        <w:jc w:val="both"/>
        <w:rPr>
          <w:sz w:val="24"/>
          <w:szCs w:val="24"/>
        </w:rPr>
      </w:pPr>
      <w:r>
        <w:rPr>
          <w:sz w:val="24"/>
          <w:szCs w:val="24"/>
        </w:rPr>
        <w:t>Intercompany transactions are eliminated from net income and receipts</w:t>
      </w:r>
    </w:p>
    <w:p w:rsidR="002850D9" w:rsidRPr="00675C9B" w:rsidRDefault="002850D9" w:rsidP="002850D9">
      <w:pPr>
        <w:pStyle w:val="ListParagraph"/>
        <w:numPr>
          <w:ilvl w:val="0"/>
          <w:numId w:val="1"/>
        </w:numPr>
        <w:jc w:val="both"/>
        <w:rPr>
          <w:color w:val="000000" w:themeColor="text1"/>
          <w:sz w:val="24"/>
          <w:szCs w:val="24"/>
        </w:rPr>
      </w:pPr>
      <w:r w:rsidRPr="00675C9B">
        <w:rPr>
          <w:color w:val="000000" w:themeColor="text1"/>
          <w:sz w:val="24"/>
          <w:szCs w:val="24"/>
        </w:rPr>
        <w:t>Net operating losses (NOLs) may be shared by a unitary group</w:t>
      </w:r>
    </w:p>
    <w:p w:rsidR="002850D9" w:rsidRPr="00675C9B" w:rsidRDefault="002850D9" w:rsidP="002850D9">
      <w:pPr>
        <w:pStyle w:val="ListParagraph"/>
        <w:numPr>
          <w:ilvl w:val="0"/>
          <w:numId w:val="1"/>
        </w:numPr>
        <w:jc w:val="both"/>
        <w:rPr>
          <w:color w:val="000000" w:themeColor="text1"/>
          <w:sz w:val="24"/>
          <w:szCs w:val="24"/>
        </w:rPr>
      </w:pPr>
      <w:r w:rsidRPr="00675C9B">
        <w:rPr>
          <w:color w:val="000000" w:themeColor="text1"/>
          <w:sz w:val="24"/>
          <w:szCs w:val="24"/>
        </w:rPr>
        <w:t>Unitary business members with more than 80% of their receipts from overseas are excluded from the unitary group in conformity with the waters-edge standard</w:t>
      </w:r>
    </w:p>
    <w:p w:rsidR="002850D9" w:rsidRPr="00675C9B" w:rsidRDefault="002850D9" w:rsidP="002850D9">
      <w:pPr>
        <w:pStyle w:val="ListParagraph"/>
        <w:numPr>
          <w:ilvl w:val="0"/>
          <w:numId w:val="1"/>
        </w:numPr>
        <w:jc w:val="both"/>
        <w:rPr>
          <w:color w:val="000000" w:themeColor="text1"/>
          <w:sz w:val="24"/>
          <w:szCs w:val="24"/>
        </w:rPr>
      </w:pPr>
      <w:r w:rsidRPr="00675C9B">
        <w:rPr>
          <w:color w:val="000000" w:themeColor="text1"/>
          <w:sz w:val="24"/>
          <w:szCs w:val="24"/>
        </w:rPr>
        <w:t>Non-U.S. corporations with 20% or more of income from other group members are excluded from inclusion in a combined group if a tax treaty exists</w:t>
      </w:r>
    </w:p>
    <w:p w:rsidR="00CF5055" w:rsidRDefault="00CF5055" w:rsidP="006E5925">
      <w:pPr>
        <w:jc w:val="both"/>
        <w:rPr>
          <w:sz w:val="24"/>
          <w:szCs w:val="24"/>
        </w:rPr>
      </w:pPr>
    </w:p>
    <w:p w:rsidR="002850D9" w:rsidRDefault="002850D9" w:rsidP="002850D9">
      <w:pPr>
        <w:pStyle w:val="Heading3"/>
      </w:pPr>
      <w:bookmarkStart w:id="24" w:name="_Toc5285486"/>
      <w:r>
        <w:t>Veterinary Services for Poultry</w:t>
      </w:r>
      <w:bookmarkEnd w:id="24"/>
    </w:p>
    <w:p w:rsidR="002850D9" w:rsidRDefault="008D7C1C" w:rsidP="008D7C1C">
      <w:pPr>
        <w:ind w:left="720"/>
        <w:contextualSpacing/>
        <w:jc w:val="both"/>
        <w:rPr>
          <w:sz w:val="24"/>
          <w:szCs w:val="24"/>
        </w:rPr>
      </w:pPr>
      <w:r>
        <w:rPr>
          <w:sz w:val="24"/>
          <w:szCs w:val="24"/>
        </w:rPr>
        <w:t>HB 354</w:t>
      </w:r>
      <w:r w:rsidR="002850D9">
        <w:rPr>
          <w:sz w:val="24"/>
          <w:szCs w:val="24"/>
        </w:rPr>
        <w:t xml:space="preserve"> Sections:</w:t>
      </w:r>
      <w:r w:rsidR="002850D9">
        <w:rPr>
          <w:sz w:val="24"/>
          <w:szCs w:val="24"/>
        </w:rPr>
        <w:tab/>
        <w:t>20 and 82</w:t>
      </w:r>
    </w:p>
    <w:p w:rsidR="002850D9" w:rsidRDefault="002850D9" w:rsidP="002850D9">
      <w:pPr>
        <w:rPr>
          <w:rFonts w:asciiTheme="majorHAnsi" w:eastAsiaTheme="majorEastAsia" w:hAnsiTheme="majorHAnsi" w:cstheme="majorBidi"/>
          <w:color w:val="2E74B5" w:themeColor="accent1" w:themeShade="BF"/>
          <w:sz w:val="28"/>
          <w:szCs w:val="28"/>
        </w:rPr>
      </w:pPr>
      <w:r>
        <w:rPr>
          <w:sz w:val="24"/>
          <w:szCs w:val="24"/>
        </w:rPr>
        <w:t>The exemption for “commercial” veterinary services is extended to poultry.</w:t>
      </w:r>
      <w:r w:rsidR="00B84395">
        <w:rPr>
          <w:sz w:val="24"/>
          <w:szCs w:val="24"/>
        </w:rPr>
        <w:t xml:space="preserve"> This provision is effective July 1, 2019.</w:t>
      </w:r>
      <w:r>
        <w:br w:type="page"/>
      </w:r>
    </w:p>
    <w:p w:rsidR="00BC61F7" w:rsidRDefault="00BC61F7" w:rsidP="00BC61F7">
      <w:pPr>
        <w:pStyle w:val="Heading3"/>
      </w:pPr>
      <w:bookmarkStart w:id="25" w:name="_Toc5285487"/>
      <w:r>
        <w:lastRenderedPageBreak/>
        <w:t xml:space="preserve">Nonprofit </w:t>
      </w:r>
      <w:r w:rsidR="001474D5">
        <w:t>Admissions and Fundraising Events</w:t>
      </w:r>
      <w:bookmarkEnd w:id="25"/>
    </w:p>
    <w:p w:rsidR="00BC61F7" w:rsidRDefault="008D7C1C" w:rsidP="008D7C1C">
      <w:pPr>
        <w:ind w:left="720"/>
        <w:contextualSpacing/>
        <w:jc w:val="both"/>
        <w:rPr>
          <w:sz w:val="24"/>
          <w:szCs w:val="24"/>
        </w:rPr>
      </w:pPr>
      <w:r>
        <w:rPr>
          <w:sz w:val="24"/>
          <w:szCs w:val="24"/>
        </w:rPr>
        <w:t>HB 354</w:t>
      </w:r>
      <w:r w:rsidR="001474D5">
        <w:rPr>
          <w:sz w:val="24"/>
          <w:szCs w:val="24"/>
        </w:rPr>
        <w:t xml:space="preserve"> Sections</w:t>
      </w:r>
      <w:r w:rsidR="00BC61F7">
        <w:rPr>
          <w:sz w:val="24"/>
          <w:szCs w:val="24"/>
        </w:rPr>
        <w:t>:</w:t>
      </w:r>
      <w:r w:rsidR="00BC61F7">
        <w:rPr>
          <w:sz w:val="24"/>
          <w:szCs w:val="24"/>
        </w:rPr>
        <w:tab/>
      </w:r>
      <w:r w:rsidR="001474D5">
        <w:rPr>
          <w:sz w:val="24"/>
          <w:szCs w:val="24"/>
        </w:rPr>
        <w:t xml:space="preserve">20, </w:t>
      </w:r>
      <w:r w:rsidR="00E66A5B">
        <w:rPr>
          <w:sz w:val="24"/>
          <w:szCs w:val="24"/>
        </w:rPr>
        <w:t>28, 29, 30, 31, and 82</w:t>
      </w:r>
    </w:p>
    <w:p w:rsidR="00BC61F7" w:rsidRDefault="00BC61F7" w:rsidP="006E5925">
      <w:pPr>
        <w:jc w:val="both"/>
        <w:rPr>
          <w:sz w:val="24"/>
          <w:szCs w:val="24"/>
        </w:rPr>
      </w:pPr>
      <w:r>
        <w:rPr>
          <w:sz w:val="24"/>
          <w:szCs w:val="24"/>
        </w:rPr>
        <w:t xml:space="preserve">This </w:t>
      </w:r>
      <w:r w:rsidR="001474D5">
        <w:rPr>
          <w:sz w:val="24"/>
          <w:szCs w:val="24"/>
        </w:rPr>
        <w:t xml:space="preserve">provision exempts admissions for all </w:t>
      </w:r>
      <w:r w:rsidR="0043551D">
        <w:rPr>
          <w:sz w:val="24"/>
          <w:szCs w:val="24"/>
        </w:rPr>
        <w:t xml:space="preserve">charitable, </w:t>
      </w:r>
      <w:r w:rsidR="001474D5">
        <w:rPr>
          <w:sz w:val="24"/>
          <w:szCs w:val="24"/>
        </w:rPr>
        <w:t>nonprofit civic, governmental, and other nonprofit organizations. It also e</w:t>
      </w:r>
      <w:r>
        <w:rPr>
          <w:sz w:val="24"/>
          <w:szCs w:val="24"/>
        </w:rPr>
        <w:t xml:space="preserve">xempts </w:t>
      </w:r>
      <w:r w:rsidR="001474D5">
        <w:rPr>
          <w:sz w:val="24"/>
          <w:szCs w:val="24"/>
        </w:rPr>
        <w:t xml:space="preserve">sales of property at </w:t>
      </w:r>
      <w:r>
        <w:rPr>
          <w:sz w:val="24"/>
          <w:szCs w:val="24"/>
        </w:rPr>
        <w:t xml:space="preserve">fundraising </w:t>
      </w:r>
      <w:r w:rsidR="001474D5">
        <w:rPr>
          <w:sz w:val="24"/>
          <w:szCs w:val="24"/>
        </w:rPr>
        <w:t>events</w:t>
      </w:r>
      <w:r w:rsidR="00E66A5B">
        <w:rPr>
          <w:sz w:val="24"/>
          <w:szCs w:val="24"/>
        </w:rPr>
        <w:t xml:space="preserve"> to help nonprofits continue to </w:t>
      </w:r>
      <w:r>
        <w:rPr>
          <w:sz w:val="24"/>
          <w:szCs w:val="24"/>
        </w:rPr>
        <w:t>address</w:t>
      </w:r>
      <w:r w:rsidR="00E66A5B">
        <w:rPr>
          <w:sz w:val="24"/>
          <w:szCs w:val="24"/>
        </w:rPr>
        <w:t xml:space="preserve"> </w:t>
      </w:r>
      <w:r>
        <w:rPr>
          <w:sz w:val="24"/>
          <w:szCs w:val="24"/>
        </w:rPr>
        <w:t>vital needs of citizens throughout the Commonwealth.</w:t>
      </w:r>
      <w:r w:rsidR="0042794F">
        <w:rPr>
          <w:sz w:val="24"/>
          <w:szCs w:val="24"/>
        </w:rPr>
        <w:t xml:space="preserve"> This provision is effective </w:t>
      </w:r>
      <w:r w:rsidR="002850D9">
        <w:rPr>
          <w:sz w:val="24"/>
          <w:szCs w:val="24"/>
        </w:rPr>
        <w:t>on March 26, 2019</w:t>
      </w:r>
      <w:r w:rsidR="0042794F">
        <w:rPr>
          <w:sz w:val="24"/>
          <w:szCs w:val="24"/>
        </w:rPr>
        <w:t>.</w:t>
      </w:r>
    </w:p>
    <w:p w:rsidR="00BC61F7" w:rsidRDefault="00BC61F7" w:rsidP="006E5925">
      <w:pPr>
        <w:jc w:val="both"/>
        <w:rPr>
          <w:sz w:val="24"/>
          <w:szCs w:val="24"/>
        </w:rPr>
      </w:pPr>
    </w:p>
    <w:p w:rsidR="00CF5055" w:rsidRDefault="00E66A5B" w:rsidP="00BC61F7">
      <w:pPr>
        <w:pStyle w:val="Heading3"/>
      </w:pPr>
      <w:bookmarkStart w:id="26" w:name="_Toc5285488"/>
      <w:r>
        <w:t>Corporation Consolidated Filing Election</w:t>
      </w:r>
      <w:bookmarkEnd w:id="26"/>
    </w:p>
    <w:p w:rsidR="008014FD" w:rsidRDefault="008D7C1C" w:rsidP="008D7C1C">
      <w:pPr>
        <w:ind w:left="720"/>
        <w:contextualSpacing/>
        <w:jc w:val="both"/>
        <w:rPr>
          <w:sz w:val="24"/>
          <w:szCs w:val="24"/>
        </w:rPr>
      </w:pPr>
      <w:r>
        <w:rPr>
          <w:sz w:val="24"/>
          <w:szCs w:val="24"/>
        </w:rPr>
        <w:t>HB 354</w:t>
      </w:r>
      <w:r w:rsidR="00E66A5B">
        <w:rPr>
          <w:sz w:val="24"/>
          <w:szCs w:val="24"/>
        </w:rPr>
        <w:t xml:space="preserve"> Sections</w:t>
      </w:r>
      <w:r w:rsidR="008014FD">
        <w:rPr>
          <w:sz w:val="24"/>
          <w:szCs w:val="24"/>
        </w:rPr>
        <w:t>:</w:t>
      </w:r>
      <w:r w:rsidR="008014FD">
        <w:rPr>
          <w:sz w:val="24"/>
          <w:szCs w:val="24"/>
        </w:rPr>
        <w:tab/>
      </w:r>
      <w:r w:rsidR="00E66A5B">
        <w:rPr>
          <w:sz w:val="24"/>
          <w:szCs w:val="24"/>
        </w:rPr>
        <w:t>47 and 83</w:t>
      </w:r>
    </w:p>
    <w:p w:rsidR="00BC61F7" w:rsidRDefault="00E66A5B" w:rsidP="006E5925">
      <w:pPr>
        <w:jc w:val="both"/>
        <w:rPr>
          <w:sz w:val="24"/>
          <w:szCs w:val="24"/>
        </w:rPr>
      </w:pPr>
      <w:r>
        <w:rPr>
          <w:sz w:val="24"/>
          <w:szCs w:val="24"/>
        </w:rPr>
        <w:t>HB 487 fundamentally changed the Commonwealth’s taxation of large multi-state corporations</w:t>
      </w:r>
      <w:r w:rsidR="00BC61F7">
        <w:rPr>
          <w:sz w:val="24"/>
          <w:szCs w:val="24"/>
        </w:rPr>
        <w:t>.</w:t>
      </w:r>
      <w:r>
        <w:rPr>
          <w:sz w:val="24"/>
          <w:szCs w:val="24"/>
        </w:rPr>
        <w:t xml:space="preserve"> One option available to corporations is to elect to file a “same-as-federal” consolidated return. </w:t>
      </w:r>
      <w:r w:rsidR="005E4EDC">
        <w:rPr>
          <w:sz w:val="24"/>
          <w:szCs w:val="24"/>
        </w:rPr>
        <w:t xml:space="preserve">Effective for </w:t>
      </w:r>
      <w:r w:rsidR="005E4EDC">
        <w:rPr>
          <w:sz w:val="23"/>
          <w:szCs w:val="23"/>
        </w:rPr>
        <w:t xml:space="preserve">taxable years beginning on or after January 1, 2019, </w:t>
      </w:r>
      <w:r>
        <w:rPr>
          <w:sz w:val="24"/>
          <w:szCs w:val="24"/>
        </w:rPr>
        <w:t xml:space="preserve">HB 354 shortens the mandatory election period from 8 years to 4 years to match </w:t>
      </w:r>
      <w:r w:rsidR="0043551D">
        <w:rPr>
          <w:sz w:val="24"/>
          <w:szCs w:val="24"/>
        </w:rPr>
        <w:t>Kentucky’s</w:t>
      </w:r>
      <w:r>
        <w:rPr>
          <w:sz w:val="24"/>
          <w:szCs w:val="24"/>
        </w:rPr>
        <w:t xml:space="preserve"> statute of limitations and </w:t>
      </w:r>
      <w:r w:rsidR="0043551D">
        <w:rPr>
          <w:sz w:val="24"/>
          <w:szCs w:val="24"/>
        </w:rPr>
        <w:t xml:space="preserve">to </w:t>
      </w:r>
      <w:r>
        <w:rPr>
          <w:sz w:val="24"/>
          <w:szCs w:val="24"/>
        </w:rPr>
        <w:t>provide more flexibility for taxpayers in a rapidly changing economy.</w:t>
      </w:r>
    </w:p>
    <w:p w:rsidR="002850D9" w:rsidRDefault="002850D9" w:rsidP="006E5925">
      <w:pPr>
        <w:jc w:val="both"/>
        <w:rPr>
          <w:sz w:val="24"/>
          <w:szCs w:val="24"/>
        </w:rPr>
      </w:pPr>
    </w:p>
    <w:p w:rsidR="00EA3EC4" w:rsidRDefault="00BC61F7" w:rsidP="00BC61F7">
      <w:pPr>
        <w:pStyle w:val="Heading3"/>
      </w:pPr>
      <w:bookmarkStart w:id="27" w:name="_Toc5285489"/>
      <w:r>
        <w:t>Resale of Services Exemption</w:t>
      </w:r>
      <w:bookmarkEnd w:id="27"/>
    </w:p>
    <w:p w:rsidR="00BC61F7" w:rsidRDefault="008D7C1C" w:rsidP="008D7C1C">
      <w:pPr>
        <w:ind w:left="720"/>
        <w:contextualSpacing/>
        <w:jc w:val="both"/>
        <w:rPr>
          <w:sz w:val="24"/>
          <w:szCs w:val="24"/>
        </w:rPr>
      </w:pPr>
      <w:r>
        <w:rPr>
          <w:sz w:val="24"/>
          <w:szCs w:val="24"/>
        </w:rPr>
        <w:t>HB 354</w:t>
      </w:r>
      <w:r w:rsidR="00BE58E8">
        <w:rPr>
          <w:sz w:val="24"/>
          <w:szCs w:val="24"/>
        </w:rPr>
        <w:t xml:space="preserve"> Sections</w:t>
      </w:r>
      <w:r w:rsidR="00BC61F7">
        <w:rPr>
          <w:sz w:val="24"/>
          <w:szCs w:val="24"/>
        </w:rPr>
        <w:t>:</w:t>
      </w:r>
      <w:r w:rsidR="00BC61F7">
        <w:rPr>
          <w:sz w:val="24"/>
          <w:szCs w:val="24"/>
        </w:rPr>
        <w:tab/>
      </w:r>
      <w:r w:rsidR="00BE58E8">
        <w:rPr>
          <w:sz w:val="24"/>
          <w:szCs w:val="24"/>
        </w:rPr>
        <w:t>21, 22, 23, 34, and 82</w:t>
      </w:r>
    </w:p>
    <w:p w:rsidR="00BC61F7" w:rsidRDefault="00BC61F7" w:rsidP="006E5925">
      <w:pPr>
        <w:jc w:val="both"/>
        <w:rPr>
          <w:sz w:val="24"/>
          <w:szCs w:val="24"/>
        </w:rPr>
      </w:pPr>
      <w:r>
        <w:rPr>
          <w:sz w:val="24"/>
          <w:szCs w:val="24"/>
        </w:rPr>
        <w:t xml:space="preserve">This provision extends the sales tax concept of not taxing the same item twice. Currently, tangible personal property that is resold is only taxed once, and this provision extends the same exemption to </w:t>
      </w:r>
      <w:r w:rsidR="0094374E">
        <w:rPr>
          <w:sz w:val="24"/>
          <w:szCs w:val="24"/>
        </w:rPr>
        <w:t xml:space="preserve">newly taxed </w:t>
      </w:r>
      <w:r>
        <w:rPr>
          <w:sz w:val="24"/>
          <w:szCs w:val="24"/>
        </w:rPr>
        <w:t>services.</w:t>
      </w:r>
      <w:r w:rsidR="00B84395">
        <w:rPr>
          <w:sz w:val="24"/>
          <w:szCs w:val="24"/>
        </w:rPr>
        <w:t xml:space="preserve"> Similar to other sales tax changes, this provision is effective July 1, 2019.</w:t>
      </w:r>
      <w:r w:rsidR="005C786E">
        <w:rPr>
          <w:sz w:val="24"/>
          <w:szCs w:val="24"/>
        </w:rPr>
        <w:t xml:space="preserve"> The resale exemption does not apply to services that were taxable prior to HB 487.</w:t>
      </w:r>
    </w:p>
    <w:p w:rsidR="00BC61F7" w:rsidRDefault="00BC61F7" w:rsidP="006E5925">
      <w:pPr>
        <w:jc w:val="both"/>
        <w:rPr>
          <w:sz w:val="24"/>
          <w:szCs w:val="24"/>
        </w:rPr>
      </w:pPr>
    </w:p>
    <w:p w:rsidR="00BC61F7" w:rsidRDefault="005B77A0" w:rsidP="005B77A0">
      <w:pPr>
        <w:pStyle w:val="Heading3"/>
      </w:pPr>
      <w:bookmarkStart w:id="28" w:name="_Toc5285490"/>
      <w:r>
        <w:t>Direct Pay Authorization for Services</w:t>
      </w:r>
      <w:bookmarkEnd w:id="28"/>
    </w:p>
    <w:p w:rsidR="005B77A0" w:rsidRDefault="008D7C1C" w:rsidP="008D7C1C">
      <w:pPr>
        <w:ind w:left="720"/>
        <w:contextualSpacing/>
        <w:jc w:val="both"/>
        <w:rPr>
          <w:sz w:val="24"/>
          <w:szCs w:val="24"/>
        </w:rPr>
      </w:pPr>
      <w:r>
        <w:rPr>
          <w:sz w:val="24"/>
          <w:szCs w:val="24"/>
        </w:rPr>
        <w:t>HB 354</w:t>
      </w:r>
      <w:r w:rsidR="00BE58E8">
        <w:rPr>
          <w:sz w:val="24"/>
          <w:szCs w:val="24"/>
        </w:rPr>
        <w:t xml:space="preserve"> Sections</w:t>
      </w:r>
      <w:r w:rsidR="005B77A0">
        <w:rPr>
          <w:sz w:val="24"/>
          <w:szCs w:val="24"/>
        </w:rPr>
        <w:t>:</w:t>
      </w:r>
      <w:r w:rsidR="005B77A0">
        <w:rPr>
          <w:sz w:val="24"/>
          <w:szCs w:val="24"/>
        </w:rPr>
        <w:tab/>
      </w:r>
      <w:r w:rsidR="00BE58E8">
        <w:rPr>
          <w:sz w:val="24"/>
          <w:szCs w:val="24"/>
        </w:rPr>
        <w:t>21 and 82</w:t>
      </w:r>
    </w:p>
    <w:p w:rsidR="005B77A0" w:rsidRDefault="00B84395" w:rsidP="006E5925">
      <w:pPr>
        <w:jc w:val="both"/>
        <w:rPr>
          <w:sz w:val="24"/>
          <w:szCs w:val="24"/>
        </w:rPr>
      </w:pPr>
      <w:r>
        <w:rPr>
          <w:sz w:val="24"/>
          <w:szCs w:val="24"/>
        </w:rPr>
        <w:t>Effective July 1, 2019, t</w:t>
      </w:r>
      <w:r w:rsidR="005B77A0">
        <w:rPr>
          <w:sz w:val="24"/>
          <w:szCs w:val="24"/>
        </w:rPr>
        <w:t>he ability of certain large taxpayers to directly pay sales and use taxes on tangible personal property is extended to newly taxed services.</w:t>
      </w:r>
    </w:p>
    <w:p w:rsidR="005B77A0" w:rsidRDefault="005B77A0" w:rsidP="006E5925">
      <w:pPr>
        <w:jc w:val="both"/>
        <w:rPr>
          <w:sz w:val="24"/>
          <w:szCs w:val="24"/>
        </w:rPr>
      </w:pPr>
    </w:p>
    <w:p w:rsidR="005B77A0" w:rsidRDefault="005B77A0" w:rsidP="005B77A0">
      <w:pPr>
        <w:pStyle w:val="Heading3"/>
      </w:pPr>
      <w:bookmarkStart w:id="29" w:name="_Toc5285491"/>
      <w:r w:rsidRPr="005B77A0">
        <w:rPr>
          <w:i/>
        </w:rPr>
        <w:t xml:space="preserve">de </w:t>
      </w:r>
      <w:r w:rsidR="00134E49" w:rsidRPr="005B77A0">
        <w:rPr>
          <w:i/>
        </w:rPr>
        <w:t>Minimis</w:t>
      </w:r>
      <w:r>
        <w:t xml:space="preserve"> Sales Tax Standard for Services</w:t>
      </w:r>
      <w:bookmarkEnd w:id="29"/>
    </w:p>
    <w:p w:rsidR="005B77A0" w:rsidRDefault="008D7C1C" w:rsidP="008D7C1C">
      <w:pPr>
        <w:ind w:left="720"/>
        <w:contextualSpacing/>
        <w:jc w:val="both"/>
        <w:rPr>
          <w:sz w:val="24"/>
          <w:szCs w:val="24"/>
        </w:rPr>
      </w:pPr>
      <w:r>
        <w:rPr>
          <w:sz w:val="24"/>
          <w:szCs w:val="24"/>
        </w:rPr>
        <w:t>HB 354</w:t>
      </w:r>
      <w:r w:rsidR="00747441">
        <w:rPr>
          <w:sz w:val="24"/>
          <w:szCs w:val="24"/>
        </w:rPr>
        <w:t xml:space="preserve"> Section</w:t>
      </w:r>
      <w:r w:rsidR="005B77A0">
        <w:rPr>
          <w:sz w:val="24"/>
          <w:szCs w:val="24"/>
        </w:rPr>
        <w:t>:</w:t>
      </w:r>
      <w:r w:rsidR="005B77A0">
        <w:rPr>
          <w:sz w:val="24"/>
          <w:szCs w:val="24"/>
        </w:rPr>
        <w:tab/>
      </w:r>
      <w:r w:rsidR="00BE58E8">
        <w:rPr>
          <w:sz w:val="24"/>
          <w:szCs w:val="24"/>
        </w:rPr>
        <w:t>26</w:t>
      </w:r>
    </w:p>
    <w:p w:rsidR="00BE58E8" w:rsidRDefault="005C786E" w:rsidP="006E5925">
      <w:pPr>
        <w:jc w:val="both"/>
        <w:rPr>
          <w:sz w:val="24"/>
          <w:szCs w:val="24"/>
        </w:rPr>
      </w:pPr>
      <w:r>
        <w:rPr>
          <w:sz w:val="24"/>
          <w:szCs w:val="24"/>
        </w:rPr>
        <w:t>Beginning on July 1, 2019, a</w:t>
      </w:r>
      <w:r w:rsidR="0091462E">
        <w:rPr>
          <w:sz w:val="24"/>
          <w:szCs w:val="24"/>
        </w:rPr>
        <w:t xml:space="preserve"> </w:t>
      </w:r>
      <w:r w:rsidR="0091462E" w:rsidRPr="00ED47CA">
        <w:rPr>
          <w:i/>
          <w:sz w:val="24"/>
          <w:szCs w:val="24"/>
        </w:rPr>
        <w:t>de Minimis</w:t>
      </w:r>
      <w:r w:rsidR="0091462E">
        <w:rPr>
          <w:sz w:val="24"/>
          <w:szCs w:val="24"/>
        </w:rPr>
        <w:t xml:space="preserve"> threshold </w:t>
      </w:r>
      <w:r w:rsidR="00ED47CA">
        <w:rPr>
          <w:sz w:val="24"/>
          <w:szCs w:val="24"/>
        </w:rPr>
        <w:t>applies</w:t>
      </w:r>
      <w:r w:rsidR="00ED47CA">
        <w:rPr>
          <w:bCs/>
          <w:iCs/>
          <w:sz w:val="24"/>
          <w:szCs w:val="24"/>
        </w:rPr>
        <w:t xml:space="preserve"> </w:t>
      </w:r>
      <w:r>
        <w:rPr>
          <w:bCs/>
          <w:iCs/>
          <w:sz w:val="24"/>
          <w:szCs w:val="24"/>
        </w:rPr>
        <w:t xml:space="preserve">for services newly taxed under HB 487 </w:t>
      </w:r>
      <w:r w:rsidR="0091462E" w:rsidRPr="00ED47CA">
        <w:rPr>
          <w:bCs/>
          <w:iCs/>
          <w:sz w:val="24"/>
          <w:szCs w:val="24"/>
        </w:rPr>
        <w:t>if gross receipts were less than $6,000 during calendar year 2018.</w:t>
      </w:r>
      <w:r w:rsidR="0091462E">
        <w:rPr>
          <w:b/>
          <w:bCs/>
          <w:i/>
          <w:iCs/>
          <w:sz w:val="23"/>
          <w:szCs w:val="23"/>
        </w:rPr>
        <w:t xml:space="preserve"> </w:t>
      </w:r>
      <w:r>
        <w:rPr>
          <w:bCs/>
          <w:iCs/>
          <w:sz w:val="23"/>
          <w:szCs w:val="23"/>
        </w:rPr>
        <w:t>The $6,000 threshold applies for future years for small services providers as well.</w:t>
      </w:r>
    </w:p>
    <w:p w:rsidR="005B77A0" w:rsidRDefault="005B77A0" w:rsidP="00B1573C">
      <w:pPr>
        <w:jc w:val="both"/>
        <w:rPr>
          <w:sz w:val="24"/>
          <w:szCs w:val="24"/>
        </w:rPr>
      </w:pPr>
      <w:r>
        <w:rPr>
          <w:sz w:val="24"/>
          <w:szCs w:val="24"/>
        </w:rPr>
        <w:br w:type="page"/>
      </w:r>
    </w:p>
    <w:p w:rsidR="005B77A0" w:rsidRPr="00E16D19" w:rsidRDefault="005B77A0" w:rsidP="003D6A74">
      <w:pPr>
        <w:pStyle w:val="Heading1"/>
        <w:jc w:val="center"/>
        <w:rPr>
          <w:b/>
        </w:rPr>
      </w:pPr>
      <w:bookmarkStart w:id="30" w:name="_Toc5285492"/>
      <w:r w:rsidRPr="00E16D19">
        <w:rPr>
          <w:b/>
        </w:rPr>
        <w:lastRenderedPageBreak/>
        <w:t>Administrati</w:t>
      </w:r>
      <w:r w:rsidR="0027362C">
        <w:rPr>
          <w:b/>
        </w:rPr>
        <w:t>ve</w:t>
      </w:r>
      <w:r w:rsidR="0027362C" w:rsidRPr="0027362C">
        <w:rPr>
          <w:b/>
        </w:rPr>
        <w:t xml:space="preserve"> </w:t>
      </w:r>
      <w:r w:rsidR="0027362C" w:rsidRPr="00E16D19">
        <w:rPr>
          <w:b/>
        </w:rPr>
        <w:t>Efficien</w:t>
      </w:r>
      <w:r w:rsidR="0027362C">
        <w:rPr>
          <w:b/>
        </w:rPr>
        <w:t>cy</w:t>
      </w:r>
      <w:bookmarkEnd w:id="30"/>
    </w:p>
    <w:p w:rsidR="005B77A0" w:rsidRDefault="005B77A0" w:rsidP="006E5925">
      <w:pPr>
        <w:jc w:val="both"/>
        <w:rPr>
          <w:sz w:val="24"/>
          <w:szCs w:val="24"/>
        </w:rPr>
      </w:pPr>
    </w:p>
    <w:p w:rsidR="005B77A0" w:rsidRDefault="005B77A0" w:rsidP="006E5925">
      <w:pPr>
        <w:jc w:val="both"/>
        <w:rPr>
          <w:sz w:val="24"/>
          <w:szCs w:val="24"/>
        </w:rPr>
      </w:pPr>
      <w:r>
        <w:rPr>
          <w:sz w:val="24"/>
          <w:szCs w:val="24"/>
        </w:rPr>
        <w:t xml:space="preserve">A competitive tax system demands </w:t>
      </w:r>
      <w:r w:rsidR="0027362C">
        <w:rPr>
          <w:sz w:val="24"/>
          <w:szCs w:val="24"/>
        </w:rPr>
        <w:t xml:space="preserve">efficient </w:t>
      </w:r>
      <w:r>
        <w:rPr>
          <w:sz w:val="24"/>
          <w:szCs w:val="24"/>
        </w:rPr>
        <w:t>administrati</w:t>
      </w:r>
      <w:r w:rsidR="0027362C">
        <w:rPr>
          <w:sz w:val="24"/>
          <w:szCs w:val="24"/>
        </w:rPr>
        <w:t>on by</w:t>
      </w:r>
      <w:r w:rsidR="003D6A74">
        <w:rPr>
          <w:sz w:val="24"/>
          <w:szCs w:val="24"/>
        </w:rPr>
        <w:t xml:space="preserve"> the Department of Revenue</w:t>
      </w:r>
      <w:r w:rsidR="009E39C0">
        <w:rPr>
          <w:sz w:val="24"/>
          <w:szCs w:val="24"/>
        </w:rPr>
        <w:t>,</w:t>
      </w:r>
      <w:r>
        <w:rPr>
          <w:sz w:val="24"/>
          <w:szCs w:val="24"/>
        </w:rPr>
        <w:t xml:space="preserve"> clarity</w:t>
      </w:r>
      <w:r w:rsidR="003D6A74">
        <w:rPr>
          <w:sz w:val="24"/>
          <w:szCs w:val="24"/>
        </w:rPr>
        <w:t xml:space="preserve"> for taxpayers and their advisors</w:t>
      </w:r>
      <w:r w:rsidR="009E39C0">
        <w:rPr>
          <w:sz w:val="24"/>
          <w:szCs w:val="24"/>
        </w:rPr>
        <w:t>, and fairness in the application of taxes</w:t>
      </w:r>
      <w:r>
        <w:rPr>
          <w:sz w:val="24"/>
          <w:szCs w:val="24"/>
        </w:rPr>
        <w:t>.</w:t>
      </w:r>
      <w:r w:rsidR="003D6A74">
        <w:rPr>
          <w:sz w:val="24"/>
          <w:szCs w:val="24"/>
        </w:rPr>
        <w:t xml:space="preserve"> The following provisions benefit the Commonwealth and its citizens.</w:t>
      </w:r>
    </w:p>
    <w:p w:rsidR="003D6A74" w:rsidRDefault="003D6A74" w:rsidP="006E5925">
      <w:pPr>
        <w:jc w:val="both"/>
        <w:rPr>
          <w:sz w:val="24"/>
          <w:szCs w:val="24"/>
        </w:rPr>
      </w:pPr>
    </w:p>
    <w:p w:rsidR="003D6A74" w:rsidRPr="00E16D19" w:rsidRDefault="003D6A74" w:rsidP="003D6A74">
      <w:pPr>
        <w:pStyle w:val="Heading2"/>
        <w:rPr>
          <w:u w:val="single"/>
        </w:rPr>
      </w:pPr>
      <w:bookmarkStart w:id="31" w:name="_Toc5285493"/>
      <w:r w:rsidRPr="00E16D19">
        <w:rPr>
          <w:u w:val="single"/>
        </w:rPr>
        <w:t>Providing Clarity</w:t>
      </w:r>
      <w:bookmarkEnd w:id="31"/>
    </w:p>
    <w:p w:rsidR="003D6A74" w:rsidRDefault="003D6A74" w:rsidP="006E5925">
      <w:pPr>
        <w:jc w:val="both"/>
        <w:rPr>
          <w:sz w:val="24"/>
          <w:szCs w:val="24"/>
        </w:rPr>
      </w:pPr>
    </w:p>
    <w:p w:rsidR="003D6A74" w:rsidRDefault="003D6A74" w:rsidP="003D6A74">
      <w:pPr>
        <w:pStyle w:val="Heading3"/>
      </w:pPr>
      <w:bookmarkStart w:id="32" w:name="_Toc5285494"/>
      <w:r>
        <w:t>Internal Revenue Code Reference Date</w:t>
      </w:r>
      <w:bookmarkEnd w:id="32"/>
    </w:p>
    <w:p w:rsidR="003D6A74" w:rsidRDefault="008D7C1C" w:rsidP="008D7C1C">
      <w:pPr>
        <w:ind w:left="720"/>
        <w:contextualSpacing/>
        <w:jc w:val="both"/>
        <w:rPr>
          <w:sz w:val="24"/>
          <w:szCs w:val="24"/>
        </w:rPr>
      </w:pPr>
      <w:r>
        <w:rPr>
          <w:sz w:val="24"/>
          <w:szCs w:val="24"/>
        </w:rPr>
        <w:t>HB 354</w:t>
      </w:r>
      <w:r w:rsidR="0032277B">
        <w:rPr>
          <w:sz w:val="24"/>
          <w:szCs w:val="24"/>
        </w:rPr>
        <w:t xml:space="preserve"> Sections</w:t>
      </w:r>
      <w:r w:rsidR="003D6A74">
        <w:rPr>
          <w:sz w:val="24"/>
          <w:szCs w:val="24"/>
        </w:rPr>
        <w:t>:</w:t>
      </w:r>
      <w:r w:rsidR="003D6A74">
        <w:rPr>
          <w:sz w:val="24"/>
          <w:szCs w:val="24"/>
        </w:rPr>
        <w:tab/>
      </w:r>
      <w:r w:rsidR="0032277B">
        <w:rPr>
          <w:sz w:val="24"/>
          <w:szCs w:val="24"/>
        </w:rPr>
        <w:t>35 and 83</w:t>
      </w:r>
    </w:p>
    <w:p w:rsidR="003D6A74" w:rsidRDefault="003D6A74" w:rsidP="006E5925">
      <w:pPr>
        <w:jc w:val="both"/>
        <w:rPr>
          <w:sz w:val="24"/>
          <w:szCs w:val="24"/>
        </w:rPr>
      </w:pPr>
      <w:r>
        <w:rPr>
          <w:sz w:val="24"/>
          <w:szCs w:val="24"/>
        </w:rPr>
        <w:t xml:space="preserve">Kentucky’s income tax system is heavily dependent on federal taxation and the Internal Revenue Code. This provision updates </w:t>
      </w:r>
      <w:r w:rsidR="00675278">
        <w:rPr>
          <w:sz w:val="24"/>
          <w:szCs w:val="24"/>
        </w:rPr>
        <w:t xml:space="preserve">the Commonwealth’s </w:t>
      </w:r>
      <w:r>
        <w:rPr>
          <w:sz w:val="24"/>
          <w:szCs w:val="24"/>
        </w:rPr>
        <w:t xml:space="preserve">conformity </w:t>
      </w:r>
      <w:r w:rsidR="00675278">
        <w:rPr>
          <w:sz w:val="24"/>
          <w:szCs w:val="24"/>
        </w:rPr>
        <w:t xml:space="preserve">with the Internal Revenue Code </w:t>
      </w:r>
      <w:r w:rsidR="00DF0204">
        <w:rPr>
          <w:sz w:val="24"/>
          <w:szCs w:val="24"/>
        </w:rPr>
        <w:t>in effect on</w:t>
      </w:r>
      <w:r>
        <w:rPr>
          <w:sz w:val="24"/>
          <w:szCs w:val="24"/>
        </w:rPr>
        <w:t xml:space="preserve"> </w:t>
      </w:r>
      <w:r w:rsidR="00DF0204">
        <w:rPr>
          <w:sz w:val="24"/>
          <w:szCs w:val="24"/>
        </w:rPr>
        <w:t>December 31</w:t>
      </w:r>
      <w:r w:rsidR="0032277B">
        <w:rPr>
          <w:sz w:val="24"/>
          <w:szCs w:val="24"/>
        </w:rPr>
        <w:t>, 201</w:t>
      </w:r>
      <w:r w:rsidR="00DF0204">
        <w:rPr>
          <w:sz w:val="24"/>
          <w:szCs w:val="24"/>
        </w:rPr>
        <w:t>8</w:t>
      </w:r>
      <w:r w:rsidR="0043551D">
        <w:rPr>
          <w:sz w:val="24"/>
          <w:szCs w:val="24"/>
        </w:rPr>
        <w:t>, and reduces potential differences between federal and state tax laws</w:t>
      </w:r>
      <w:r>
        <w:rPr>
          <w:sz w:val="24"/>
          <w:szCs w:val="24"/>
        </w:rPr>
        <w:t>.</w:t>
      </w:r>
      <w:r w:rsidR="00DF0204">
        <w:rPr>
          <w:sz w:val="24"/>
          <w:szCs w:val="24"/>
        </w:rPr>
        <w:t xml:space="preserve">  </w:t>
      </w:r>
      <w:r w:rsidR="0007140C">
        <w:rPr>
          <w:sz w:val="24"/>
          <w:szCs w:val="24"/>
        </w:rPr>
        <w:t>The change applies to taxable years beginning on or after January 1, 2019.</w:t>
      </w:r>
    </w:p>
    <w:p w:rsidR="003D6A74" w:rsidRDefault="003D6A74" w:rsidP="006E5925">
      <w:pPr>
        <w:jc w:val="both"/>
        <w:rPr>
          <w:sz w:val="24"/>
          <w:szCs w:val="24"/>
        </w:rPr>
      </w:pPr>
    </w:p>
    <w:p w:rsidR="003D6A74" w:rsidRDefault="0032277B" w:rsidP="003D6A74">
      <w:pPr>
        <w:pStyle w:val="Heading3"/>
      </w:pPr>
      <w:bookmarkStart w:id="33" w:name="_Toc5285495"/>
      <w:r>
        <w:t>Military Active Duty</w:t>
      </w:r>
      <w:r w:rsidR="003D6A74">
        <w:t xml:space="preserve"> Training</w:t>
      </w:r>
      <w:bookmarkEnd w:id="33"/>
    </w:p>
    <w:p w:rsidR="003D6A74" w:rsidRDefault="008D7C1C" w:rsidP="008D7C1C">
      <w:pPr>
        <w:ind w:left="720"/>
        <w:contextualSpacing/>
        <w:jc w:val="both"/>
        <w:rPr>
          <w:sz w:val="24"/>
          <w:szCs w:val="24"/>
        </w:rPr>
      </w:pPr>
      <w:r>
        <w:rPr>
          <w:sz w:val="24"/>
          <w:szCs w:val="24"/>
        </w:rPr>
        <w:t>HB 354</w:t>
      </w:r>
      <w:r w:rsidR="00747441">
        <w:rPr>
          <w:sz w:val="24"/>
          <w:szCs w:val="24"/>
        </w:rPr>
        <w:t xml:space="preserve"> Section</w:t>
      </w:r>
      <w:r>
        <w:rPr>
          <w:sz w:val="24"/>
          <w:szCs w:val="24"/>
        </w:rPr>
        <w:t>s</w:t>
      </w:r>
      <w:r w:rsidR="003D6A74">
        <w:rPr>
          <w:sz w:val="24"/>
          <w:szCs w:val="24"/>
        </w:rPr>
        <w:t>:</w:t>
      </w:r>
      <w:r w:rsidR="003D6A74">
        <w:rPr>
          <w:sz w:val="24"/>
          <w:szCs w:val="24"/>
        </w:rPr>
        <w:tab/>
      </w:r>
      <w:r w:rsidR="0032277B">
        <w:rPr>
          <w:sz w:val="24"/>
          <w:szCs w:val="24"/>
        </w:rPr>
        <w:t>37</w:t>
      </w:r>
      <w:r w:rsidR="00240052">
        <w:rPr>
          <w:sz w:val="24"/>
          <w:szCs w:val="24"/>
        </w:rPr>
        <w:t>, 46,</w:t>
      </w:r>
      <w:r w:rsidR="0032277B">
        <w:rPr>
          <w:sz w:val="24"/>
          <w:szCs w:val="24"/>
        </w:rPr>
        <w:t xml:space="preserve"> and 83</w:t>
      </w:r>
    </w:p>
    <w:p w:rsidR="003D6A74" w:rsidRDefault="003D6A74" w:rsidP="006E5925">
      <w:pPr>
        <w:jc w:val="both"/>
        <w:rPr>
          <w:sz w:val="24"/>
          <w:szCs w:val="24"/>
        </w:rPr>
      </w:pPr>
      <w:r>
        <w:rPr>
          <w:sz w:val="24"/>
          <w:szCs w:val="24"/>
        </w:rPr>
        <w:t>This provision codifies Kentucky’s long-standing</w:t>
      </w:r>
      <w:r w:rsidR="007769B2">
        <w:rPr>
          <w:sz w:val="24"/>
          <w:szCs w:val="24"/>
        </w:rPr>
        <w:t xml:space="preserve"> income tax law</w:t>
      </w:r>
      <w:r>
        <w:rPr>
          <w:sz w:val="24"/>
          <w:szCs w:val="24"/>
        </w:rPr>
        <w:t xml:space="preserve"> interpretation </w:t>
      </w:r>
      <w:r w:rsidR="002850D9">
        <w:rPr>
          <w:sz w:val="24"/>
          <w:szCs w:val="24"/>
        </w:rPr>
        <w:t>t</w:t>
      </w:r>
      <w:r>
        <w:rPr>
          <w:sz w:val="24"/>
          <w:szCs w:val="24"/>
        </w:rPr>
        <w:t xml:space="preserve">o </w:t>
      </w:r>
      <w:r w:rsidR="007769B2">
        <w:rPr>
          <w:sz w:val="24"/>
          <w:szCs w:val="24"/>
        </w:rPr>
        <w:t>treat</w:t>
      </w:r>
      <w:r>
        <w:rPr>
          <w:sz w:val="24"/>
          <w:szCs w:val="24"/>
        </w:rPr>
        <w:t xml:space="preserve"> training duty pay </w:t>
      </w:r>
      <w:r w:rsidR="007769B2">
        <w:rPr>
          <w:sz w:val="24"/>
          <w:szCs w:val="24"/>
        </w:rPr>
        <w:t xml:space="preserve">as “active duty pay” </w:t>
      </w:r>
      <w:r>
        <w:rPr>
          <w:sz w:val="24"/>
          <w:szCs w:val="24"/>
        </w:rPr>
        <w:t>for the Commonwealth’s citizen soldiers.</w:t>
      </w:r>
      <w:r w:rsidR="007769B2">
        <w:rPr>
          <w:sz w:val="24"/>
          <w:szCs w:val="24"/>
        </w:rPr>
        <w:t xml:space="preserve"> </w:t>
      </w:r>
      <w:r w:rsidR="00B84395">
        <w:rPr>
          <w:sz w:val="24"/>
          <w:szCs w:val="24"/>
        </w:rPr>
        <w:t>This provision is effective January 1, 2019.</w:t>
      </w:r>
    </w:p>
    <w:p w:rsidR="003D6A74" w:rsidRDefault="003D6A74" w:rsidP="006E5925">
      <w:pPr>
        <w:jc w:val="both"/>
        <w:rPr>
          <w:sz w:val="24"/>
          <w:szCs w:val="24"/>
        </w:rPr>
      </w:pPr>
    </w:p>
    <w:p w:rsidR="003D6A74" w:rsidRDefault="003D6A74" w:rsidP="003D6A74">
      <w:pPr>
        <w:pStyle w:val="Heading3"/>
      </w:pPr>
      <w:bookmarkStart w:id="34" w:name="_Toc5285496"/>
      <w:r>
        <w:t xml:space="preserve">25% </w:t>
      </w:r>
      <w:r w:rsidR="00240052">
        <w:t>or</w:t>
      </w:r>
      <w:r w:rsidR="0032277B">
        <w:t xml:space="preserve"> 75% </w:t>
      </w:r>
      <w:r>
        <w:t>Recycling Credit Limitation</w:t>
      </w:r>
      <w:r w:rsidR="0032277B">
        <w:t>s</w:t>
      </w:r>
      <w:bookmarkEnd w:id="34"/>
    </w:p>
    <w:p w:rsidR="003D6A74" w:rsidRDefault="008D7C1C" w:rsidP="0045720C">
      <w:pPr>
        <w:ind w:left="720"/>
        <w:contextualSpacing/>
        <w:jc w:val="both"/>
        <w:rPr>
          <w:sz w:val="24"/>
          <w:szCs w:val="24"/>
        </w:rPr>
      </w:pPr>
      <w:r>
        <w:rPr>
          <w:sz w:val="24"/>
          <w:szCs w:val="24"/>
        </w:rPr>
        <w:t>HB 354</w:t>
      </w:r>
      <w:r w:rsidR="0032277B">
        <w:rPr>
          <w:sz w:val="24"/>
          <w:szCs w:val="24"/>
        </w:rPr>
        <w:t xml:space="preserve"> Section</w:t>
      </w:r>
      <w:r w:rsidR="00240052">
        <w:rPr>
          <w:sz w:val="24"/>
          <w:szCs w:val="24"/>
        </w:rPr>
        <w:t>s</w:t>
      </w:r>
      <w:r w:rsidR="003D6A74">
        <w:rPr>
          <w:sz w:val="24"/>
          <w:szCs w:val="24"/>
        </w:rPr>
        <w:t>:</w:t>
      </w:r>
      <w:r w:rsidR="003D6A74">
        <w:rPr>
          <w:sz w:val="24"/>
          <w:szCs w:val="24"/>
        </w:rPr>
        <w:tab/>
      </w:r>
      <w:r w:rsidR="00240052">
        <w:rPr>
          <w:sz w:val="24"/>
          <w:szCs w:val="24"/>
        </w:rPr>
        <w:t>53 and 84</w:t>
      </w:r>
    </w:p>
    <w:p w:rsidR="009E39C0" w:rsidRDefault="00B84395" w:rsidP="006E5925">
      <w:pPr>
        <w:jc w:val="both"/>
        <w:rPr>
          <w:sz w:val="24"/>
          <w:szCs w:val="24"/>
        </w:rPr>
      </w:pPr>
      <w:r>
        <w:rPr>
          <w:sz w:val="24"/>
          <w:szCs w:val="24"/>
        </w:rPr>
        <w:t>For tax years beginning on January 1, 2021, t</w:t>
      </w:r>
      <w:r w:rsidR="003D6A74">
        <w:rPr>
          <w:sz w:val="24"/>
          <w:szCs w:val="24"/>
        </w:rPr>
        <w:t xml:space="preserve">his provision clarifies language to match Kentucky’s policy </w:t>
      </w:r>
      <w:r w:rsidR="00675278">
        <w:rPr>
          <w:sz w:val="24"/>
          <w:szCs w:val="24"/>
        </w:rPr>
        <w:t>of</w:t>
      </w:r>
      <w:r w:rsidR="003D6A74">
        <w:rPr>
          <w:sz w:val="24"/>
          <w:szCs w:val="24"/>
        </w:rPr>
        <w:t xml:space="preserve"> limit</w:t>
      </w:r>
      <w:r w:rsidR="00675278">
        <w:rPr>
          <w:sz w:val="24"/>
          <w:szCs w:val="24"/>
        </w:rPr>
        <w:t>ing</w:t>
      </w:r>
      <w:r w:rsidR="003D6A74">
        <w:rPr>
          <w:sz w:val="24"/>
          <w:szCs w:val="24"/>
        </w:rPr>
        <w:t xml:space="preserve"> recycling credits claimed to 25% </w:t>
      </w:r>
      <w:r w:rsidR="00240052">
        <w:rPr>
          <w:sz w:val="24"/>
          <w:szCs w:val="24"/>
        </w:rPr>
        <w:t xml:space="preserve">or 75% </w:t>
      </w:r>
      <w:r w:rsidR="003D6A74">
        <w:rPr>
          <w:sz w:val="24"/>
          <w:szCs w:val="24"/>
        </w:rPr>
        <w:t xml:space="preserve">of a taxpayer’s tax liability after the first year </w:t>
      </w:r>
      <w:r w:rsidR="00675278">
        <w:rPr>
          <w:sz w:val="24"/>
          <w:szCs w:val="24"/>
        </w:rPr>
        <w:t>the recycling</w:t>
      </w:r>
      <w:r w:rsidR="00240052">
        <w:rPr>
          <w:sz w:val="24"/>
          <w:szCs w:val="24"/>
        </w:rPr>
        <w:t xml:space="preserve"> credit is claimed.</w:t>
      </w:r>
    </w:p>
    <w:p w:rsidR="00FD3596" w:rsidRDefault="00FD3596" w:rsidP="006E5925">
      <w:pPr>
        <w:jc w:val="both"/>
        <w:rPr>
          <w:sz w:val="24"/>
          <w:szCs w:val="24"/>
        </w:rPr>
      </w:pPr>
    </w:p>
    <w:p w:rsidR="00FD3596" w:rsidRDefault="00ED47CA" w:rsidP="00FD3596">
      <w:pPr>
        <w:pStyle w:val="Heading3"/>
      </w:pPr>
      <w:bookmarkStart w:id="35" w:name="_Toc5285497"/>
      <w:r>
        <w:t>Limited Liability Entity Tax (</w:t>
      </w:r>
      <w:r w:rsidR="00FD3596">
        <w:t>LLET</w:t>
      </w:r>
      <w:r>
        <w:t>)</w:t>
      </w:r>
      <w:r w:rsidR="00FD3596">
        <w:t xml:space="preserve"> $175 Minimum</w:t>
      </w:r>
      <w:bookmarkEnd w:id="35"/>
    </w:p>
    <w:p w:rsidR="00FD3596" w:rsidRPr="008D7C1C" w:rsidRDefault="008D7C1C" w:rsidP="008D7C1C">
      <w:pPr>
        <w:ind w:left="720"/>
        <w:contextualSpacing/>
        <w:jc w:val="both"/>
        <w:rPr>
          <w:color w:val="000000" w:themeColor="text1"/>
          <w:sz w:val="24"/>
          <w:szCs w:val="24"/>
        </w:rPr>
      </w:pPr>
      <w:r w:rsidRPr="008D7C1C">
        <w:rPr>
          <w:color w:val="000000" w:themeColor="text1"/>
          <w:sz w:val="24"/>
          <w:szCs w:val="24"/>
        </w:rPr>
        <w:t>HB 458</w:t>
      </w:r>
      <w:r w:rsidR="00FD3596" w:rsidRPr="008D7C1C">
        <w:rPr>
          <w:color w:val="000000" w:themeColor="text1"/>
          <w:sz w:val="24"/>
          <w:szCs w:val="24"/>
        </w:rPr>
        <w:t xml:space="preserve"> Section:</w:t>
      </w:r>
      <w:r w:rsidR="00FD3596" w:rsidRPr="008D7C1C">
        <w:rPr>
          <w:color w:val="000000" w:themeColor="text1"/>
          <w:sz w:val="24"/>
          <w:szCs w:val="24"/>
        </w:rPr>
        <w:tab/>
      </w:r>
      <w:r w:rsidR="00C72C56" w:rsidRPr="008D7C1C">
        <w:rPr>
          <w:color w:val="000000" w:themeColor="text1"/>
          <w:sz w:val="24"/>
          <w:szCs w:val="24"/>
        </w:rPr>
        <w:t>13</w:t>
      </w:r>
    </w:p>
    <w:p w:rsidR="00FD3596" w:rsidRDefault="00B84395" w:rsidP="006E5925">
      <w:pPr>
        <w:jc w:val="both"/>
        <w:rPr>
          <w:sz w:val="24"/>
          <w:szCs w:val="24"/>
        </w:rPr>
      </w:pPr>
      <w:r>
        <w:rPr>
          <w:sz w:val="24"/>
          <w:szCs w:val="24"/>
        </w:rPr>
        <w:t>T</w:t>
      </w:r>
      <w:r w:rsidR="00FD3596">
        <w:rPr>
          <w:sz w:val="24"/>
          <w:szCs w:val="24"/>
        </w:rPr>
        <w:t>his provision clarifies that the $175 minimum limited liability entity tax applies to all taxpayers regardless of the calculation method employed.</w:t>
      </w:r>
    </w:p>
    <w:p w:rsidR="009E39C0" w:rsidRDefault="009E39C0" w:rsidP="006E5925">
      <w:pPr>
        <w:jc w:val="both"/>
        <w:rPr>
          <w:sz w:val="24"/>
          <w:szCs w:val="24"/>
        </w:rPr>
      </w:pPr>
    </w:p>
    <w:p w:rsidR="00B1573C" w:rsidRDefault="00B1573C">
      <w:pPr>
        <w:rPr>
          <w:rFonts w:asciiTheme="majorHAnsi" w:eastAsiaTheme="majorEastAsia" w:hAnsiTheme="majorHAnsi" w:cstheme="majorBidi"/>
          <w:color w:val="2E74B5" w:themeColor="accent1" w:themeShade="BF"/>
          <w:sz w:val="32"/>
          <w:szCs w:val="32"/>
          <w:u w:val="single"/>
        </w:rPr>
      </w:pPr>
      <w:r>
        <w:rPr>
          <w:u w:val="single"/>
        </w:rPr>
        <w:br w:type="page"/>
      </w:r>
    </w:p>
    <w:p w:rsidR="00075CC9" w:rsidRPr="00E16D19" w:rsidRDefault="00AC0B11" w:rsidP="00075CC9">
      <w:pPr>
        <w:pStyle w:val="Heading2"/>
        <w:rPr>
          <w:u w:val="single"/>
        </w:rPr>
      </w:pPr>
      <w:bookmarkStart w:id="36" w:name="_Toc5285498"/>
      <w:r>
        <w:rPr>
          <w:u w:val="single"/>
        </w:rPr>
        <w:lastRenderedPageBreak/>
        <w:t xml:space="preserve">Tax </w:t>
      </w:r>
      <w:r w:rsidR="00075CC9" w:rsidRPr="00E16D19">
        <w:rPr>
          <w:u w:val="single"/>
        </w:rPr>
        <w:t>Administrati</w:t>
      </w:r>
      <w:r>
        <w:rPr>
          <w:u w:val="single"/>
        </w:rPr>
        <w:t>on</w:t>
      </w:r>
      <w:bookmarkEnd w:id="36"/>
    </w:p>
    <w:p w:rsidR="00075CC9" w:rsidRDefault="00075CC9" w:rsidP="006E5925">
      <w:pPr>
        <w:jc w:val="both"/>
        <w:rPr>
          <w:sz w:val="24"/>
          <w:szCs w:val="24"/>
        </w:rPr>
      </w:pPr>
    </w:p>
    <w:p w:rsidR="003D6A74" w:rsidRDefault="003D6A74" w:rsidP="00075CC9">
      <w:pPr>
        <w:pStyle w:val="Heading3"/>
      </w:pPr>
      <w:bookmarkStart w:id="37" w:name="_Toc5285499"/>
      <w:r>
        <w:t>Propert</w:t>
      </w:r>
      <w:r w:rsidR="00075CC9">
        <w:t>y Tax Protest Periods</w:t>
      </w:r>
      <w:bookmarkEnd w:id="37"/>
    </w:p>
    <w:p w:rsidR="00075CC9" w:rsidRDefault="008D7C1C" w:rsidP="008D7C1C">
      <w:pPr>
        <w:ind w:left="720"/>
        <w:contextualSpacing/>
        <w:jc w:val="both"/>
        <w:rPr>
          <w:sz w:val="24"/>
          <w:szCs w:val="24"/>
        </w:rPr>
      </w:pPr>
      <w:r>
        <w:rPr>
          <w:sz w:val="24"/>
          <w:szCs w:val="24"/>
        </w:rPr>
        <w:t>HB 354</w:t>
      </w:r>
      <w:r w:rsidR="00747441">
        <w:rPr>
          <w:sz w:val="24"/>
          <w:szCs w:val="24"/>
        </w:rPr>
        <w:t xml:space="preserve"> Section</w:t>
      </w:r>
      <w:r w:rsidR="00075CC9">
        <w:rPr>
          <w:sz w:val="24"/>
          <w:szCs w:val="24"/>
        </w:rPr>
        <w:t>:</w:t>
      </w:r>
      <w:r w:rsidR="00075CC9">
        <w:rPr>
          <w:sz w:val="24"/>
          <w:szCs w:val="24"/>
        </w:rPr>
        <w:tab/>
      </w:r>
      <w:r w:rsidR="00240052">
        <w:rPr>
          <w:sz w:val="24"/>
          <w:szCs w:val="24"/>
        </w:rPr>
        <w:t>11</w:t>
      </w:r>
    </w:p>
    <w:p w:rsidR="00075CC9" w:rsidRDefault="00075CC9" w:rsidP="006E5925">
      <w:pPr>
        <w:jc w:val="both"/>
        <w:rPr>
          <w:sz w:val="24"/>
          <w:szCs w:val="24"/>
        </w:rPr>
      </w:pPr>
      <w:r>
        <w:rPr>
          <w:sz w:val="24"/>
          <w:szCs w:val="24"/>
        </w:rPr>
        <w:t xml:space="preserve">All </w:t>
      </w:r>
      <w:r w:rsidR="00675278">
        <w:rPr>
          <w:sz w:val="24"/>
          <w:szCs w:val="24"/>
        </w:rPr>
        <w:t xml:space="preserve">property tax </w:t>
      </w:r>
      <w:r>
        <w:rPr>
          <w:sz w:val="24"/>
          <w:szCs w:val="24"/>
        </w:rPr>
        <w:t xml:space="preserve">protests can </w:t>
      </w:r>
      <w:r w:rsidR="0038392A">
        <w:rPr>
          <w:sz w:val="24"/>
          <w:szCs w:val="24"/>
        </w:rPr>
        <w:t xml:space="preserve">now </w:t>
      </w:r>
      <w:r>
        <w:rPr>
          <w:sz w:val="24"/>
          <w:szCs w:val="24"/>
        </w:rPr>
        <w:t>be filed up to 60 days after a tax assessment is issued or a refund is denied.</w:t>
      </w:r>
    </w:p>
    <w:p w:rsidR="003D6A74" w:rsidRDefault="003D6A74" w:rsidP="006E5925">
      <w:pPr>
        <w:jc w:val="both"/>
        <w:rPr>
          <w:sz w:val="24"/>
          <w:szCs w:val="24"/>
        </w:rPr>
      </w:pPr>
    </w:p>
    <w:p w:rsidR="00075CC9" w:rsidRDefault="00075CC9" w:rsidP="00075CC9">
      <w:pPr>
        <w:pStyle w:val="Heading3"/>
      </w:pPr>
      <w:bookmarkStart w:id="38" w:name="_Toc5285500"/>
      <w:r>
        <w:t>LLET Statute of Limitations Extension</w:t>
      </w:r>
      <w:bookmarkEnd w:id="38"/>
    </w:p>
    <w:p w:rsidR="00075CC9" w:rsidRPr="008D7C1C" w:rsidRDefault="008D7C1C" w:rsidP="008D7C1C">
      <w:pPr>
        <w:ind w:left="720"/>
        <w:contextualSpacing/>
        <w:jc w:val="both"/>
        <w:rPr>
          <w:color w:val="000000" w:themeColor="text1"/>
          <w:sz w:val="24"/>
          <w:szCs w:val="24"/>
        </w:rPr>
      </w:pPr>
      <w:r w:rsidRPr="008D7C1C">
        <w:rPr>
          <w:color w:val="000000" w:themeColor="text1"/>
          <w:sz w:val="24"/>
          <w:szCs w:val="24"/>
        </w:rPr>
        <w:t>HB 458</w:t>
      </w:r>
      <w:r w:rsidR="00747441" w:rsidRPr="008D7C1C">
        <w:rPr>
          <w:color w:val="000000" w:themeColor="text1"/>
          <w:sz w:val="24"/>
          <w:szCs w:val="24"/>
        </w:rPr>
        <w:t xml:space="preserve"> Section</w:t>
      </w:r>
      <w:r w:rsidR="00075CC9" w:rsidRPr="008D7C1C">
        <w:rPr>
          <w:color w:val="000000" w:themeColor="text1"/>
          <w:sz w:val="24"/>
          <w:szCs w:val="24"/>
        </w:rPr>
        <w:t>:</w:t>
      </w:r>
      <w:r w:rsidR="00075CC9" w:rsidRPr="008D7C1C">
        <w:rPr>
          <w:color w:val="000000" w:themeColor="text1"/>
          <w:sz w:val="24"/>
          <w:szCs w:val="24"/>
        </w:rPr>
        <w:tab/>
      </w:r>
      <w:r w:rsidR="00C72C56" w:rsidRPr="008D7C1C">
        <w:rPr>
          <w:color w:val="000000" w:themeColor="text1"/>
          <w:sz w:val="24"/>
          <w:szCs w:val="24"/>
        </w:rPr>
        <w:t>2</w:t>
      </w:r>
    </w:p>
    <w:p w:rsidR="00075CC9" w:rsidRDefault="00075CC9" w:rsidP="006E5925">
      <w:pPr>
        <w:jc w:val="both"/>
        <w:rPr>
          <w:sz w:val="24"/>
          <w:szCs w:val="24"/>
        </w:rPr>
      </w:pPr>
      <w:r>
        <w:rPr>
          <w:sz w:val="24"/>
          <w:szCs w:val="24"/>
        </w:rPr>
        <w:t>The statute of limitations is left open long enough for a taxp</w:t>
      </w:r>
      <w:r w:rsidR="00134E49">
        <w:rPr>
          <w:sz w:val="24"/>
          <w:szCs w:val="24"/>
        </w:rPr>
        <w:t>ayer to request a refund for a limited liability entity tax</w:t>
      </w:r>
      <w:r>
        <w:rPr>
          <w:sz w:val="24"/>
          <w:szCs w:val="24"/>
        </w:rPr>
        <w:t xml:space="preserve"> credit from a pass-through entity.</w:t>
      </w:r>
    </w:p>
    <w:p w:rsidR="00E00588" w:rsidRDefault="00E00588" w:rsidP="006E5925">
      <w:pPr>
        <w:jc w:val="both"/>
        <w:rPr>
          <w:sz w:val="24"/>
          <w:szCs w:val="24"/>
        </w:rPr>
      </w:pPr>
    </w:p>
    <w:p w:rsidR="00075CC9" w:rsidRDefault="00075CC9" w:rsidP="00075CC9">
      <w:pPr>
        <w:pStyle w:val="Heading3"/>
      </w:pPr>
      <w:bookmarkStart w:id="39" w:name="_Toc5285501"/>
      <w:r>
        <w:t>Corporation Due Date for Extended Returns</w:t>
      </w:r>
      <w:bookmarkEnd w:id="39"/>
    </w:p>
    <w:p w:rsidR="00075CC9" w:rsidRDefault="008D7C1C" w:rsidP="008D7C1C">
      <w:pPr>
        <w:ind w:left="720"/>
        <w:contextualSpacing/>
        <w:jc w:val="both"/>
        <w:rPr>
          <w:sz w:val="24"/>
          <w:szCs w:val="24"/>
        </w:rPr>
      </w:pPr>
      <w:r>
        <w:rPr>
          <w:sz w:val="24"/>
          <w:szCs w:val="24"/>
        </w:rPr>
        <w:t>HB 354</w:t>
      </w:r>
      <w:r w:rsidR="00747441">
        <w:rPr>
          <w:sz w:val="24"/>
          <w:szCs w:val="24"/>
        </w:rPr>
        <w:t xml:space="preserve"> Section</w:t>
      </w:r>
      <w:r w:rsidR="00075CC9">
        <w:rPr>
          <w:sz w:val="24"/>
          <w:szCs w:val="24"/>
        </w:rPr>
        <w:t>:</w:t>
      </w:r>
      <w:r w:rsidR="00075CC9">
        <w:rPr>
          <w:sz w:val="24"/>
          <w:szCs w:val="24"/>
        </w:rPr>
        <w:tab/>
      </w:r>
      <w:r w:rsidR="00240052">
        <w:rPr>
          <w:sz w:val="24"/>
          <w:szCs w:val="24"/>
        </w:rPr>
        <w:t>45</w:t>
      </w:r>
    </w:p>
    <w:p w:rsidR="00075CC9" w:rsidRDefault="00556D99" w:rsidP="006E5925">
      <w:pPr>
        <w:jc w:val="both"/>
        <w:rPr>
          <w:sz w:val="24"/>
          <w:szCs w:val="24"/>
        </w:rPr>
      </w:pPr>
      <w:r>
        <w:rPr>
          <w:sz w:val="24"/>
          <w:szCs w:val="24"/>
        </w:rPr>
        <w:t>C-corporations are now allowed</w:t>
      </w:r>
      <w:r w:rsidR="00BA5698">
        <w:rPr>
          <w:sz w:val="24"/>
          <w:szCs w:val="24"/>
        </w:rPr>
        <w:t xml:space="preserve"> </w:t>
      </w:r>
      <w:r>
        <w:rPr>
          <w:sz w:val="24"/>
          <w:szCs w:val="24"/>
        </w:rPr>
        <w:t xml:space="preserve">a </w:t>
      </w:r>
      <w:r w:rsidR="00BA5698">
        <w:rPr>
          <w:sz w:val="24"/>
          <w:szCs w:val="24"/>
        </w:rPr>
        <w:t>7</w:t>
      </w:r>
      <w:r>
        <w:rPr>
          <w:sz w:val="24"/>
          <w:szCs w:val="24"/>
        </w:rPr>
        <w:t>-</w:t>
      </w:r>
      <w:r w:rsidR="00BA5698">
        <w:rPr>
          <w:sz w:val="24"/>
          <w:szCs w:val="24"/>
        </w:rPr>
        <w:t>month</w:t>
      </w:r>
      <w:r>
        <w:rPr>
          <w:sz w:val="24"/>
          <w:szCs w:val="24"/>
        </w:rPr>
        <w:t xml:space="preserve"> extension </w:t>
      </w:r>
      <w:r w:rsidR="00CC6110">
        <w:rPr>
          <w:sz w:val="24"/>
          <w:szCs w:val="24"/>
        </w:rPr>
        <w:t>to file complete and accurate return</w:t>
      </w:r>
      <w:r>
        <w:rPr>
          <w:sz w:val="24"/>
          <w:szCs w:val="24"/>
        </w:rPr>
        <w:t>s</w:t>
      </w:r>
      <w:r w:rsidR="00BA5698">
        <w:rPr>
          <w:sz w:val="24"/>
          <w:szCs w:val="24"/>
        </w:rPr>
        <w:t xml:space="preserve">. </w:t>
      </w:r>
    </w:p>
    <w:p w:rsidR="00075CC9" w:rsidRDefault="00075CC9" w:rsidP="006E5925">
      <w:pPr>
        <w:jc w:val="both"/>
        <w:rPr>
          <w:sz w:val="24"/>
          <w:szCs w:val="24"/>
        </w:rPr>
      </w:pPr>
    </w:p>
    <w:p w:rsidR="00075CC9" w:rsidRDefault="009E39C0" w:rsidP="00075CC9">
      <w:pPr>
        <w:pStyle w:val="Heading3"/>
      </w:pPr>
      <w:bookmarkStart w:id="40" w:name="_Toc5285502"/>
      <w:r>
        <w:t>Taxpayer Information</w:t>
      </w:r>
      <w:r w:rsidR="00075CC9">
        <w:t xml:space="preserve"> Disclosure Criminal Penalties</w:t>
      </w:r>
      <w:bookmarkEnd w:id="40"/>
    </w:p>
    <w:p w:rsidR="00075CC9" w:rsidRDefault="008D7C1C" w:rsidP="008D7C1C">
      <w:pPr>
        <w:ind w:left="720"/>
        <w:contextualSpacing/>
        <w:jc w:val="both"/>
        <w:rPr>
          <w:sz w:val="24"/>
          <w:szCs w:val="24"/>
        </w:rPr>
      </w:pPr>
      <w:r>
        <w:rPr>
          <w:sz w:val="24"/>
          <w:szCs w:val="24"/>
        </w:rPr>
        <w:t>HB 354</w:t>
      </w:r>
      <w:r w:rsidR="00747441">
        <w:rPr>
          <w:sz w:val="24"/>
          <w:szCs w:val="24"/>
        </w:rPr>
        <w:t xml:space="preserve"> Sections</w:t>
      </w:r>
      <w:r w:rsidR="00075CC9">
        <w:rPr>
          <w:sz w:val="24"/>
          <w:szCs w:val="24"/>
        </w:rPr>
        <w:t>:</w:t>
      </w:r>
      <w:r w:rsidR="00075CC9">
        <w:rPr>
          <w:sz w:val="24"/>
          <w:szCs w:val="24"/>
        </w:rPr>
        <w:tab/>
      </w:r>
      <w:r w:rsidR="00240052" w:rsidRPr="003E1BDC">
        <w:rPr>
          <w:color w:val="000000" w:themeColor="text1"/>
          <w:sz w:val="24"/>
          <w:szCs w:val="24"/>
        </w:rPr>
        <w:t>1</w:t>
      </w:r>
      <w:r w:rsidR="007B51A4" w:rsidRPr="007B51A4">
        <w:rPr>
          <w:color w:val="FF0000"/>
          <w:sz w:val="24"/>
          <w:szCs w:val="24"/>
        </w:rPr>
        <w:t xml:space="preserve"> </w:t>
      </w:r>
      <w:r w:rsidR="00FD3596">
        <w:rPr>
          <w:sz w:val="24"/>
          <w:szCs w:val="24"/>
        </w:rPr>
        <w:t>and 7</w:t>
      </w:r>
    </w:p>
    <w:p w:rsidR="008D7C1C" w:rsidRDefault="008D7C1C" w:rsidP="008D7C1C">
      <w:pPr>
        <w:ind w:left="720"/>
        <w:contextualSpacing/>
        <w:jc w:val="both"/>
        <w:rPr>
          <w:sz w:val="24"/>
          <w:szCs w:val="24"/>
        </w:rPr>
      </w:pPr>
      <w:r>
        <w:rPr>
          <w:sz w:val="24"/>
          <w:szCs w:val="24"/>
        </w:rPr>
        <w:t>HB 458 Section:</w:t>
      </w:r>
      <w:r>
        <w:rPr>
          <w:sz w:val="24"/>
          <w:szCs w:val="24"/>
        </w:rPr>
        <w:tab/>
        <w:t>1</w:t>
      </w:r>
    </w:p>
    <w:p w:rsidR="00075CC9" w:rsidRDefault="00075CC9" w:rsidP="006E5925">
      <w:pPr>
        <w:jc w:val="both"/>
        <w:rPr>
          <w:sz w:val="24"/>
          <w:szCs w:val="24"/>
        </w:rPr>
      </w:pPr>
      <w:r>
        <w:rPr>
          <w:sz w:val="24"/>
          <w:szCs w:val="24"/>
        </w:rPr>
        <w:t xml:space="preserve">Department of Revenue staff </w:t>
      </w:r>
      <w:r w:rsidR="00240052">
        <w:rPr>
          <w:sz w:val="24"/>
          <w:szCs w:val="24"/>
        </w:rPr>
        <w:t xml:space="preserve">are protected </w:t>
      </w:r>
      <w:r>
        <w:rPr>
          <w:sz w:val="24"/>
          <w:szCs w:val="24"/>
        </w:rPr>
        <w:t xml:space="preserve">from </w:t>
      </w:r>
      <w:r w:rsidR="00240052">
        <w:rPr>
          <w:sz w:val="24"/>
          <w:szCs w:val="24"/>
        </w:rPr>
        <w:t>criminal penalties</w:t>
      </w:r>
      <w:r>
        <w:rPr>
          <w:sz w:val="24"/>
          <w:szCs w:val="24"/>
        </w:rPr>
        <w:t xml:space="preserve"> for complying with a court ordered rele</w:t>
      </w:r>
      <w:r w:rsidR="00240052">
        <w:rPr>
          <w:sz w:val="24"/>
          <w:szCs w:val="24"/>
        </w:rPr>
        <w:t>ase of taxpayer information</w:t>
      </w:r>
      <w:r>
        <w:rPr>
          <w:sz w:val="24"/>
          <w:szCs w:val="24"/>
        </w:rPr>
        <w:t xml:space="preserve">. </w:t>
      </w:r>
      <w:r w:rsidRPr="00766896">
        <w:rPr>
          <w:color w:val="000000" w:themeColor="text1"/>
          <w:sz w:val="24"/>
          <w:szCs w:val="24"/>
        </w:rPr>
        <w:t xml:space="preserve">The Commonwealth’s open records law is also strengthened to </w:t>
      </w:r>
      <w:r w:rsidR="009E39C0" w:rsidRPr="00766896">
        <w:rPr>
          <w:color w:val="000000" w:themeColor="text1"/>
          <w:sz w:val="24"/>
          <w:szCs w:val="24"/>
        </w:rPr>
        <w:t xml:space="preserve">better </w:t>
      </w:r>
      <w:r w:rsidRPr="00766896">
        <w:rPr>
          <w:color w:val="000000" w:themeColor="text1"/>
          <w:sz w:val="24"/>
          <w:szCs w:val="24"/>
        </w:rPr>
        <w:t>prote</w:t>
      </w:r>
      <w:r w:rsidR="009E39C0" w:rsidRPr="00766896">
        <w:rPr>
          <w:color w:val="000000" w:themeColor="text1"/>
          <w:sz w:val="24"/>
          <w:szCs w:val="24"/>
        </w:rPr>
        <w:t>c</w:t>
      </w:r>
      <w:r w:rsidRPr="00766896">
        <w:rPr>
          <w:color w:val="000000" w:themeColor="text1"/>
          <w:sz w:val="24"/>
          <w:szCs w:val="24"/>
        </w:rPr>
        <w:t>t taxpayer information.</w:t>
      </w:r>
    </w:p>
    <w:p w:rsidR="00075CC9" w:rsidRDefault="00075CC9" w:rsidP="006E5925">
      <w:pPr>
        <w:jc w:val="both"/>
        <w:rPr>
          <w:sz w:val="24"/>
          <w:szCs w:val="24"/>
        </w:rPr>
      </w:pPr>
    </w:p>
    <w:p w:rsidR="0038392A" w:rsidRDefault="0038392A" w:rsidP="0038392A">
      <w:pPr>
        <w:pStyle w:val="Heading3"/>
      </w:pPr>
      <w:bookmarkStart w:id="41" w:name="_Toc5285503"/>
      <w:r>
        <w:t>Wholesale Tax on Small Wineries</w:t>
      </w:r>
      <w:bookmarkEnd w:id="41"/>
    </w:p>
    <w:p w:rsidR="0038392A" w:rsidRDefault="008D7C1C" w:rsidP="008D7C1C">
      <w:pPr>
        <w:ind w:left="720"/>
        <w:contextualSpacing/>
        <w:jc w:val="both"/>
        <w:rPr>
          <w:sz w:val="24"/>
          <w:szCs w:val="24"/>
        </w:rPr>
      </w:pPr>
      <w:r>
        <w:rPr>
          <w:sz w:val="24"/>
          <w:szCs w:val="24"/>
        </w:rPr>
        <w:t>HB 354</w:t>
      </w:r>
      <w:r w:rsidR="00747441">
        <w:rPr>
          <w:sz w:val="24"/>
          <w:szCs w:val="24"/>
        </w:rPr>
        <w:t xml:space="preserve"> Section</w:t>
      </w:r>
      <w:r w:rsidR="0038392A">
        <w:rPr>
          <w:sz w:val="24"/>
          <w:szCs w:val="24"/>
        </w:rPr>
        <w:t>:</w:t>
      </w:r>
      <w:r w:rsidR="0038392A">
        <w:rPr>
          <w:sz w:val="24"/>
          <w:szCs w:val="24"/>
        </w:rPr>
        <w:tab/>
      </w:r>
      <w:r w:rsidR="00343543">
        <w:rPr>
          <w:sz w:val="24"/>
          <w:szCs w:val="24"/>
        </w:rPr>
        <w:t>77</w:t>
      </w:r>
    </w:p>
    <w:p w:rsidR="0038392A" w:rsidRDefault="0038392A" w:rsidP="006E5925">
      <w:pPr>
        <w:jc w:val="both"/>
        <w:rPr>
          <w:sz w:val="24"/>
          <w:szCs w:val="24"/>
        </w:rPr>
      </w:pPr>
      <w:r>
        <w:rPr>
          <w:sz w:val="24"/>
          <w:szCs w:val="24"/>
        </w:rPr>
        <w:t xml:space="preserve">An anomaly in the law is corrected to tax wine produced by small </w:t>
      </w:r>
      <w:r w:rsidR="00747441">
        <w:rPr>
          <w:sz w:val="24"/>
          <w:szCs w:val="24"/>
        </w:rPr>
        <w:t xml:space="preserve">farm </w:t>
      </w:r>
      <w:r w:rsidR="00343543">
        <w:rPr>
          <w:sz w:val="24"/>
          <w:szCs w:val="24"/>
        </w:rPr>
        <w:t xml:space="preserve">wineries </w:t>
      </w:r>
      <w:r w:rsidR="00343543" w:rsidRPr="00343543">
        <w:rPr>
          <w:i/>
          <w:sz w:val="24"/>
          <w:szCs w:val="24"/>
        </w:rPr>
        <w:t>after</w:t>
      </w:r>
      <w:r w:rsidR="00343543">
        <w:rPr>
          <w:sz w:val="24"/>
          <w:szCs w:val="24"/>
        </w:rPr>
        <w:t xml:space="preserve"> the first 50,000 gallons</w:t>
      </w:r>
      <w:r>
        <w:rPr>
          <w:sz w:val="24"/>
          <w:szCs w:val="24"/>
        </w:rPr>
        <w:t>.</w:t>
      </w:r>
    </w:p>
    <w:p w:rsidR="0038392A" w:rsidRDefault="0038392A" w:rsidP="006E5925">
      <w:pPr>
        <w:jc w:val="both"/>
        <w:rPr>
          <w:sz w:val="24"/>
          <w:szCs w:val="24"/>
        </w:rPr>
      </w:pPr>
    </w:p>
    <w:p w:rsidR="00A52AD5" w:rsidRDefault="00A52AD5">
      <w:pPr>
        <w:rPr>
          <w:rFonts w:asciiTheme="majorHAnsi" w:eastAsiaTheme="majorEastAsia" w:hAnsiTheme="majorHAnsi" w:cstheme="majorBidi"/>
          <w:color w:val="2E74B5" w:themeColor="accent1" w:themeShade="BF"/>
          <w:sz w:val="32"/>
          <w:szCs w:val="32"/>
          <w:u w:val="single"/>
        </w:rPr>
      </w:pPr>
      <w:r>
        <w:rPr>
          <w:u w:val="single"/>
        </w:rPr>
        <w:br w:type="page"/>
      </w:r>
    </w:p>
    <w:p w:rsidR="009E39C0" w:rsidRPr="00E16D19" w:rsidRDefault="009E39C0" w:rsidP="009E39C0">
      <w:pPr>
        <w:pStyle w:val="Heading2"/>
        <w:rPr>
          <w:u w:val="single"/>
        </w:rPr>
      </w:pPr>
      <w:bookmarkStart w:id="42" w:name="_Toc5285504"/>
      <w:r w:rsidRPr="00E16D19">
        <w:rPr>
          <w:u w:val="single"/>
        </w:rPr>
        <w:lastRenderedPageBreak/>
        <w:t>Tax Fairness</w:t>
      </w:r>
      <w:bookmarkEnd w:id="42"/>
    </w:p>
    <w:p w:rsidR="00675278" w:rsidRDefault="00675278" w:rsidP="00675278">
      <w:pPr>
        <w:pStyle w:val="Heading3"/>
      </w:pPr>
    </w:p>
    <w:p w:rsidR="00675278" w:rsidRDefault="00675278" w:rsidP="00675278">
      <w:pPr>
        <w:pStyle w:val="Heading3"/>
      </w:pPr>
      <w:bookmarkStart w:id="43" w:name="_Toc5285505"/>
      <w:r>
        <w:t>Multichannel Video Programming Clarification</w:t>
      </w:r>
      <w:bookmarkEnd w:id="43"/>
    </w:p>
    <w:p w:rsidR="00675278" w:rsidRDefault="008D7C1C" w:rsidP="008D7C1C">
      <w:pPr>
        <w:ind w:left="720"/>
        <w:contextualSpacing/>
        <w:jc w:val="both"/>
        <w:rPr>
          <w:sz w:val="24"/>
          <w:szCs w:val="24"/>
        </w:rPr>
      </w:pPr>
      <w:r>
        <w:rPr>
          <w:sz w:val="24"/>
          <w:szCs w:val="24"/>
        </w:rPr>
        <w:t>HB 354</w:t>
      </w:r>
      <w:r w:rsidR="00747441">
        <w:rPr>
          <w:sz w:val="24"/>
          <w:szCs w:val="24"/>
        </w:rPr>
        <w:t xml:space="preserve"> Sections</w:t>
      </w:r>
      <w:r w:rsidR="00675278">
        <w:rPr>
          <w:sz w:val="24"/>
          <w:szCs w:val="24"/>
        </w:rPr>
        <w:t>:</w:t>
      </w:r>
      <w:r w:rsidR="00675278">
        <w:rPr>
          <w:sz w:val="24"/>
          <w:szCs w:val="24"/>
        </w:rPr>
        <w:tab/>
      </w:r>
      <w:r w:rsidR="00FD3596">
        <w:rPr>
          <w:sz w:val="24"/>
          <w:szCs w:val="24"/>
        </w:rPr>
        <w:t>17 and 82</w:t>
      </w:r>
    </w:p>
    <w:p w:rsidR="00675278" w:rsidRDefault="00675278" w:rsidP="00675278">
      <w:pPr>
        <w:jc w:val="both"/>
        <w:rPr>
          <w:sz w:val="24"/>
          <w:szCs w:val="24"/>
        </w:rPr>
      </w:pPr>
      <w:r>
        <w:rPr>
          <w:sz w:val="24"/>
          <w:szCs w:val="24"/>
        </w:rPr>
        <w:t>Certain video-streamed content was exempted from</w:t>
      </w:r>
      <w:r w:rsidR="00A52AD5">
        <w:rPr>
          <w:sz w:val="24"/>
          <w:szCs w:val="24"/>
        </w:rPr>
        <w:t xml:space="preserve"> telecommunications and school</w:t>
      </w:r>
      <w:r>
        <w:rPr>
          <w:sz w:val="24"/>
          <w:szCs w:val="24"/>
        </w:rPr>
        <w:t xml:space="preserve"> tax</w:t>
      </w:r>
      <w:r w:rsidR="00A52AD5">
        <w:rPr>
          <w:sz w:val="24"/>
          <w:szCs w:val="24"/>
        </w:rPr>
        <w:t>es</w:t>
      </w:r>
      <w:r>
        <w:rPr>
          <w:sz w:val="24"/>
          <w:szCs w:val="24"/>
        </w:rPr>
        <w:t xml:space="preserve"> through a </w:t>
      </w:r>
      <w:r w:rsidR="00D34FCB">
        <w:rPr>
          <w:sz w:val="24"/>
          <w:szCs w:val="24"/>
        </w:rPr>
        <w:t xml:space="preserve">recent </w:t>
      </w:r>
      <w:r>
        <w:rPr>
          <w:sz w:val="24"/>
          <w:szCs w:val="24"/>
        </w:rPr>
        <w:t xml:space="preserve">court case, and this provision returns parity to the industry so that </w:t>
      </w:r>
      <w:r w:rsidR="002B5112">
        <w:rPr>
          <w:sz w:val="24"/>
          <w:szCs w:val="24"/>
        </w:rPr>
        <w:t xml:space="preserve">all </w:t>
      </w:r>
      <w:r>
        <w:rPr>
          <w:sz w:val="24"/>
          <w:szCs w:val="24"/>
        </w:rPr>
        <w:t>content viewed is taxed the same</w:t>
      </w:r>
      <w:r w:rsidR="00D34FCB">
        <w:rPr>
          <w:sz w:val="24"/>
          <w:szCs w:val="24"/>
        </w:rPr>
        <w:t xml:space="preserve"> regardless of the method of delivery</w:t>
      </w:r>
      <w:r>
        <w:rPr>
          <w:sz w:val="24"/>
          <w:szCs w:val="24"/>
        </w:rPr>
        <w:t>.</w:t>
      </w:r>
      <w:r w:rsidR="008F2F6F">
        <w:rPr>
          <w:sz w:val="24"/>
          <w:szCs w:val="24"/>
        </w:rPr>
        <w:t xml:space="preserve"> This change is effective July 1, 2019.</w:t>
      </w:r>
    </w:p>
    <w:p w:rsidR="0038392A" w:rsidRDefault="0038392A" w:rsidP="0038392A">
      <w:pPr>
        <w:pStyle w:val="Heading3"/>
      </w:pPr>
    </w:p>
    <w:p w:rsidR="0038392A" w:rsidRPr="00B1573C" w:rsidRDefault="00343543" w:rsidP="00B1573C">
      <w:pPr>
        <w:pStyle w:val="Heading2"/>
        <w:rPr>
          <w:u w:val="single"/>
        </w:rPr>
      </w:pPr>
      <w:bookmarkStart w:id="44" w:name="_Toc5285506"/>
      <w:r w:rsidRPr="00B1573C">
        <w:rPr>
          <w:u w:val="single"/>
        </w:rPr>
        <w:t>Other Items</w:t>
      </w:r>
      <w:bookmarkEnd w:id="44"/>
    </w:p>
    <w:p w:rsidR="00B1573C" w:rsidRDefault="00B1573C" w:rsidP="00B1573C">
      <w:pPr>
        <w:ind w:left="1440" w:hanging="1440"/>
        <w:jc w:val="both"/>
        <w:rPr>
          <w:sz w:val="24"/>
          <w:szCs w:val="24"/>
        </w:rPr>
      </w:pPr>
    </w:p>
    <w:p w:rsidR="0038392A" w:rsidRDefault="0045720C" w:rsidP="0045720C">
      <w:pPr>
        <w:ind w:left="2880" w:hanging="2160"/>
        <w:contextualSpacing/>
        <w:jc w:val="both"/>
        <w:rPr>
          <w:sz w:val="24"/>
          <w:szCs w:val="24"/>
        </w:rPr>
      </w:pPr>
      <w:r>
        <w:rPr>
          <w:sz w:val="24"/>
          <w:szCs w:val="24"/>
        </w:rPr>
        <w:t>HB 354</w:t>
      </w:r>
      <w:r w:rsidR="00343543">
        <w:rPr>
          <w:sz w:val="24"/>
          <w:szCs w:val="24"/>
        </w:rPr>
        <w:t xml:space="preserve"> Sections</w:t>
      </w:r>
      <w:r w:rsidR="0038392A">
        <w:rPr>
          <w:sz w:val="24"/>
          <w:szCs w:val="24"/>
        </w:rPr>
        <w:t>:</w:t>
      </w:r>
      <w:r w:rsidR="0038392A">
        <w:rPr>
          <w:sz w:val="24"/>
          <w:szCs w:val="24"/>
        </w:rPr>
        <w:tab/>
      </w:r>
      <w:r w:rsidR="0097386D">
        <w:rPr>
          <w:sz w:val="24"/>
          <w:szCs w:val="24"/>
        </w:rPr>
        <w:t xml:space="preserve">6, 13, 18, 38, 39, 51, </w:t>
      </w:r>
      <w:r w:rsidR="00B1573C">
        <w:rPr>
          <w:sz w:val="24"/>
          <w:szCs w:val="24"/>
        </w:rPr>
        <w:t>54, 55, 56, 57, 63, 64, 65, 66, 68, 69, 70, 71, 72, 73, 76, 78, and 89</w:t>
      </w:r>
    </w:p>
    <w:p w:rsidR="0045720C" w:rsidRDefault="0045720C" w:rsidP="0045720C">
      <w:pPr>
        <w:ind w:left="2880" w:hanging="2160"/>
        <w:contextualSpacing/>
        <w:jc w:val="both"/>
        <w:rPr>
          <w:sz w:val="24"/>
          <w:szCs w:val="24"/>
        </w:rPr>
      </w:pPr>
      <w:r>
        <w:rPr>
          <w:sz w:val="24"/>
          <w:szCs w:val="24"/>
        </w:rPr>
        <w:t>HB 458 Section:</w:t>
      </w:r>
      <w:r>
        <w:rPr>
          <w:sz w:val="24"/>
          <w:szCs w:val="24"/>
        </w:rPr>
        <w:tab/>
        <w:t>16</w:t>
      </w:r>
    </w:p>
    <w:p w:rsidR="0038392A" w:rsidRPr="00675C9B" w:rsidRDefault="00343543" w:rsidP="0038392A">
      <w:pPr>
        <w:jc w:val="both"/>
        <w:rPr>
          <w:color w:val="000000" w:themeColor="text1"/>
          <w:sz w:val="24"/>
          <w:szCs w:val="24"/>
        </w:rPr>
      </w:pPr>
      <w:r>
        <w:rPr>
          <w:sz w:val="24"/>
          <w:szCs w:val="24"/>
        </w:rPr>
        <w:t>A number of statutes are revised to reflect correct references to other chapters of the Kentucky Revised Statutes. HB 354 also declares an emergency to place some provisions in effect immediately and amends the title of the act accordingly</w:t>
      </w:r>
      <w:r w:rsidR="0038392A">
        <w:rPr>
          <w:sz w:val="24"/>
          <w:szCs w:val="24"/>
        </w:rPr>
        <w:t>.</w:t>
      </w:r>
      <w:r w:rsidR="00C84A48">
        <w:rPr>
          <w:sz w:val="24"/>
          <w:szCs w:val="24"/>
        </w:rPr>
        <w:t xml:space="preserve"> </w:t>
      </w:r>
      <w:r w:rsidR="00C84A48" w:rsidRPr="00675C9B">
        <w:rPr>
          <w:color w:val="000000" w:themeColor="text1"/>
          <w:sz w:val="24"/>
          <w:szCs w:val="24"/>
        </w:rPr>
        <w:t>Certain sections of HB 354 were repealed by Section 16 of HB 458</w:t>
      </w:r>
      <w:r w:rsidR="00044668">
        <w:rPr>
          <w:color w:val="000000" w:themeColor="text1"/>
          <w:sz w:val="24"/>
          <w:szCs w:val="24"/>
        </w:rPr>
        <w:t xml:space="preserve"> to enact the technical changes</w:t>
      </w:r>
      <w:r w:rsidR="00C84A48" w:rsidRPr="00675C9B">
        <w:rPr>
          <w:color w:val="000000" w:themeColor="text1"/>
          <w:sz w:val="24"/>
          <w:szCs w:val="24"/>
        </w:rPr>
        <w:t>.</w:t>
      </w:r>
    </w:p>
    <w:p w:rsidR="009E39C0" w:rsidRDefault="009E39C0" w:rsidP="006E5925">
      <w:pPr>
        <w:jc w:val="both"/>
        <w:rPr>
          <w:sz w:val="24"/>
          <w:szCs w:val="24"/>
        </w:rPr>
      </w:pPr>
    </w:p>
    <w:p w:rsidR="00075CC9" w:rsidRPr="0019729B" w:rsidRDefault="00075CC9" w:rsidP="006E5925">
      <w:pPr>
        <w:jc w:val="both"/>
        <w:rPr>
          <w:sz w:val="24"/>
          <w:szCs w:val="24"/>
        </w:rPr>
      </w:pPr>
    </w:p>
    <w:sectPr w:rsidR="00075CC9" w:rsidRPr="0019729B" w:rsidSect="002E2A36">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96" w:rsidRDefault="00766896" w:rsidP="002E2A36">
      <w:pPr>
        <w:spacing w:after="0" w:line="240" w:lineRule="auto"/>
      </w:pPr>
      <w:r>
        <w:separator/>
      </w:r>
    </w:p>
  </w:endnote>
  <w:endnote w:type="continuationSeparator" w:id="0">
    <w:p w:rsidR="00766896" w:rsidRDefault="00766896" w:rsidP="002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56315"/>
      <w:docPartObj>
        <w:docPartGallery w:val="Page Numbers (Bottom of Page)"/>
        <w:docPartUnique/>
      </w:docPartObj>
    </w:sdtPr>
    <w:sdtEndPr/>
    <w:sdtContent>
      <w:p w:rsidR="00766896" w:rsidRDefault="00766896">
        <w:pPr>
          <w:pStyle w:val="Footer"/>
          <w:jc w:val="right"/>
        </w:pPr>
        <w:r>
          <w:t xml:space="preserve">Page | </w:t>
        </w:r>
        <w:r>
          <w:fldChar w:fldCharType="begin"/>
        </w:r>
        <w:r>
          <w:instrText xml:space="preserve"> PAGE   \* MERGEFORMAT </w:instrText>
        </w:r>
        <w:r>
          <w:fldChar w:fldCharType="separate"/>
        </w:r>
        <w:r w:rsidR="00495B38">
          <w:rPr>
            <w:noProof/>
          </w:rPr>
          <w:t>2</w:t>
        </w:r>
        <w:r>
          <w:rPr>
            <w:noProof/>
          </w:rPr>
          <w:fldChar w:fldCharType="end"/>
        </w:r>
        <w:r>
          <w:t xml:space="preserve"> </w:t>
        </w:r>
      </w:p>
    </w:sdtContent>
  </w:sdt>
  <w:p w:rsidR="00766896" w:rsidRDefault="0076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96" w:rsidRDefault="00766896" w:rsidP="002E2A36">
      <w:pPr>
        <w:spacing w:after="0" w:line="240" w:lineRule="auto"/>
      </w:pPr>
      <w:r>
        <w:separator/>
      </w:r>
    </w:p>
  </w:footnote>
  <w:footnote w:type="continuationSeparator" w:id="0">
    <w:p w:rsidR="00766896" w:rsidRDefault="00766896" w:rsidP="002E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D4592"/>
    <w:multiLevelType w:val="hybridMultilevel"/>
    <w:tmpl w:val="489A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11"/>
    <w:rsid w:val="00007D91"/>
    <w:rsid w:val="00044668"/>
    <w:rsid w:val="0006039E"/>
    <w:rsid w:val="000656BE"/>
    <w:rsid w:val="00067030"/>
    <w:rsid w:val="0007140C"/>
    <w:rsid w:val="00075CC9"/>
    <w:rsid w:val="000C645F"/>
    <w:rsid w:val="00102C2D"/>
    <w:rsid w:val="00134E49"/>
    <w:rsid w:val="001474D5"/>
    <w:rsid w:val="00183C55"/>
    <w:rsid w:val="0019729B"/>
    <w:rsid w:val="001A6583"/>
    <w:rsid w:val="001C3281"/>
    <w:rsid w:val="001E3F2B"/>
    <w:rsid w:val="00205561"/>
    <w:rsid w:val="00240052"/>
    <w:rsid w:val="0027362C"/>
    <w:rsid w:val="002850D9"/>
    <w:rsid w:val="002A5778"/>
    <w:rsid w:val="002B5112"/>
    <w:rsid w:val="002D3397"/>
    <w:rsid w:val="002D6D14"/>
    <w:rsid w:val="002E2A36"/>
    <w:rsid w:val="0032277B"/>
    <w:rsid w:val="00343543"/>
    <w:rsid w:val="00363EE6"/>
    <w:rsid w:val="00377898"/>
    <w:rsid w:val="0038392A"/>
    <w:rsid w:val="00396209"/>
    <w:rsid w:val="003C1D9C"/>
    <w:rsid w:val="003D3536"/>
    <w:rsid w:val="003D6A74"/>
    <w:rsid w:val="003E1BDC"/>
    <w:rsid w:val="003F23F1"/>
    <w:rsid w:val="003F277F"/>
    <w:rsid w:val="0042794F"/>
    <w:rsid w:val="0043551D"/>
    <w:rsid w:val="00436954"/>
    <w:rsid w:val="0045720C"/>
    <w:rsid w:val="004705E3"/>
    <w:rsid w:val="004805CF"/>
    <w:rsid w:val="00495B38"/>
    <w:rsid w:val="004D6794"/>
    <w:rsid w:val="004F25AD"/>
    <w:rsid w:val="005176A3"/>
    <w:rsid w:val="0052207D"/>
    <w:rsid w:val="00522700"/>
    <w:rsid w:val="005338FF"/>
    <w:rsid w:val="00556D99"/>
    <w:rsid w:val="00566EEB"/>
    <w:rsid w:val="00591457"/>
    <w:rsid w:val="005B77A0"/>
    <w:rsid w:val="005C0135"/>
    <w:rsid w:val="005C786E"/>
    <w:rsid w:val="005E3AF0"/>
    <w:rsid w:val="005E4EDC"/>
    <w:rsid w:val="0060119E"/>
    <w:rsid w:val="00603DA4"/>
    <w:rsid w:val="00630B18"/>
    <w:rsid w:val="00675278"/>
    <w:rsid w:val="00675C9B"/>
    <w:rsid w:val="0068225B"/>
    <w:rsid w:val="006C22A3"/>
    <w:rsid w:val="006E5925"/>
    <w:rsid w:val="00710F23"/>
    <w:rsid w:val="0071552B"/>
    <w:rsid w:val="00747441"/>
    <w:rsid w:val="007574B1"/>
    <w:rsid w:val="00766896"/>
    <w:rsid w:val="007725D4"/>
    <w:rsid w:val="007769B2"/>
    <w:rsid w:val="007B2093"/>
    <w:rsid w:val="007B51A4"/>
    <w:rsid w:val="008014FD"/>
    <w:rsid w:val="00811C9A"/>
    <w:rsid w:val="00831894"/>
    <w:rsid w:val="00856417"/>
    <w:rsid w:val="008B3939"/>
    <w:rsid w:val="008D7C1C"/>
    <w:rsid w:val="008F2F6F"/>
    <w:rsid w:val="0091462E"/>
    <w:rsid w:val="009326FA"/>
    <w:rsid w:val="00936DBA"/>
    <w:rsid w:val="0094374E"/>
    <w:rsid w:val="009713B2"/>
    <w:rsid w:val="0097386D"/>
    <w:rsid w:val="009E39C0"/>
    <w:rsid w:val="009E5A7A"/>
    <w:rsid w:val="009F78F5"/>
    <w:rsid w:val="00A0200C"/>
    <w:rsid w:val="00A04A0C"/>
    <w:rsid w:val="00A072F2"/>
    <w:rsid w:val="00A52AD5"/>
    <w:rsid w:val="00A56295"/>
    <w:rsid w:val="00AB456F"/>
    <w:rsid w:val="00AC0B11"/>
    <w:rsid w:val="00AE4496"/>
    <w:rsid w:val="00B1573C"/>
    <w:rsid w:val="00B17694"/>
    <w:rsid w:val="00B30011"/>
    <w:rsid w:val="00B73881"/>
    <w:rsid w:val="00B80615"/>
    <w:rsid w:val="00B84395"/>
    <w:rsid w:val="00BA5698"/>
    <w:rsid w:val="00BC61F7"/>
    <w:rsid w:val="00BE003D"/>
    <w:rsid w:val="00BE58E8"/>
    <w:rsid w:val="00BE789B"/>
    <w:rsid w:val="00BF40A9"/>
    <w:rsid w:val="00C21C8C"/>
    <w:rsid w:val="00C72C56"/>
    <w:rsid w:val="00C83198"/>
    <w:rsid w:val="00C84A48"/>
    <w:rsid w:val="00CA223C"/>
    <w:rsid w:val="00CC3F09"/>
    <w:rsid w:val="00CC6110"/>
    <w:rsid w:val="00CF5055"/>
    <w:rsid w:val="00D04E8C"/>
    <w:rsid w:val="00D26FDD"/>
    <w:rsid w:val="00D34FCB"/>
    <w:rsid w:val="00D60943"/>
    <w:rsid w:val="00D83BB7"/>
    <w:rsid w:val="00DE3987"/>
    <w:rsid w:val="00DF0204"/>
    <w:rsid w:val="00DF24B1"/>
    <w:rsid w:val="00E00588"/>
    <w:rsid w:val="00E143F4"/>
    <w:rsid w:val="00E16D19"/>
    <w:rsid w:val="00E66A5B"/>
    <w:rsid w:val="00EA3B75"/>
    <w:rsid w:val="00EA3EC4"/>
    <w:rsid w:val="00EC1BB7"/>
    <w:rsid w:val="00EC5190"/>
    <w:rsid w:val="00ED47CA"/>
    <w:rsid w:val="00EE36D5"/>
    <w:rsid w:val="00F16725"/>
    <w:rsid w:val="00F36581"/>
    <w:rsid w:val="00F432D3"/>
    <w:rsid w:val="00F96CA8"/>
    <w:rsid w:val="00FD3596"/>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9C51"/>
  <w15:chartTrackingRefBased/>
  <w15:docId w15:val="{8822D98C-B7B9-4833-A9E8-17FD995B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11"/>
  </w:style>
  <w:style w:type="paragraph" w:styleId="Heading1">
    <w:name w:val="heading 1"/>
    <w:basedOn w:val="Normal"/>
    <w:next w:val="Normal"/>
    <w:link w:val="Heading1Char"/>
    <w:uiPriority w:val="9"/>
    <w:qFormat/>
    <w:rsid w:val="00B3001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3001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3001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3001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3001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3001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3001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3001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3001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30011"/>
  </w:style>
  <w:style w:type="character" w:customStyle="1" w:styleId="Heading1Char">
    <w:name w:val="Heading 1 Char"/>
    <w:basedOn w:val="DefaultParagraphFont"/>
    <w:link w:val="Heading1"/>
    <w:uiPriority w:val="9"/>
    <w:rsid w:val="00B30011"/>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B30011"/>
    <w:pPr>
      <w:outlineLvl w:val="9"/>
    </w:pPr>
  </w:style>
  <w:style w:type="character" w:customStyle="1" w:styleId="Heading2Char">
    <w:name w:val="Heading 2 Char"/>
    <w:basedOn w:val="DefaultParagraphFont"/>
    <w:link w:val="Heading2"/>
    <w:uiPriority w:val="9"/>
    <w:rsid w:val="00B3001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3001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3001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3001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3001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3001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3001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3001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30011"/>
    <w:pPr>
      <w:spacing w:line="240" w:lineRule="auto"/>
    </w:pPr>
    <w:rPr>
      <w:b/>
      <w:bCs/>
      <w:smallCaps/>
      <w:color w:val="44546A" w:themeColor="text2"/>
    </w:rPr>
  </w:style>
  <w:style w:type="paragraph" w:styleId="Title">
    <w:name w:val="Title"/>
    <w:basedOn w:val="Normal"/>
    <w:next w:val="Normal"/>
    <w:link w:val="TitleChar"/>
    <w:uiPriority w:val="10"/>
    <w:qFormat/>
    <w:rsid w:val="00B3001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3001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3001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3001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30011"/>
    <w:rPr>
      <w:b/>
      <w:bCs/>
    </w:rPr>
  </w:style>
  <w:style w:type="character" w:styleId="Emphasis">
    <w:name w:val="Emphasis"/>
    <w:basedOn w:val="DefaultParagraphFont"/>
    <w:uiPriority w:val="20"/>
    <w:qFormat/>
    <w:rsid w:val="00B30011"/>
    <w:rPr>
      <w:i/>
      <w:iCs/>
    </w:rPr>
  </w:style>
  <w:style w:type="paragraph" w:styleId="NoSpacing">
    <w:name w:val="No Spacing"/>
    <w:uiPriority w:val="1"/>
    <w:qFormat/>
    <w:rsid w:val="00B30011"/>
    <w:pPr>
      <w:spacing w:after="0" w:line="240" w:lineRule="auto"/>
    </w:pPr>
  </w:style>
  <w:style w:type="paragraph" w:styleId="Quote">
    <w:name w:val="Quote"/>
    <w:basedOn w:val="Normal"/>
    <w:next w:val="Normal"/>
    <w:link w:val="QuoteChar"/>
    <w:uiPriority w:val="29"/>
    <w:qFormat/>
    <w:rsid w:val="00B3001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30011"/>
    <w:rPr>
      <w:color w:val="44546A" w:themeColor="text2"/>
      <w:sz w:val="24"/>
      <w:szCs w:val="24"/>
    </w:rPr>
  </w:style>
  <w:style w:type="paragraph" w:styleId="IntenseQuote">
    <w:name w:val="Intense Quote"/>
    <w:basedOn w:val="Normal"/>
    <w:next w:val="Normal"/>
    <w:link w:val="IntenseQuoteChar"/>
    <w:uiPriority w:val="30"/>
    <w:qFormat/>
    <w:rsid w:val="00B3001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3001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30011"/>
    <w:rPr>
      <w:i/>
      <w:iCs/>
      <w:color w:val="595959" w:themeColor="text1" w:themeTint="A6"/>
    </w:rPr>
  </w:style>
  <w:style w:type="character" w:styleId="IntenseEmphasis">
    <w:name w:val="Intense Emphasis"/>
    <w:basedOn w:val="DefaultParagraphFont"/>
    <w:uiPriority w:val="21"/>
    <w:qFormat/>
    <w:rsid w:val="00B30011"/>
    <w:rPr>
      <w:b/>
      <w:bCs/>
      <w:i/>
      <w:iCs/>
    </w:rPr>
  </w:style>
  <w:style w:type="character" w:styleId="SubtleReference">
    <w:name w:val="Subtle Reference"/>
    <w:basedOn w:val="DefaultParagraphFont"/>
    <w:uiPriority w:val="31"/>
    <w:qFormat/>
    <w:rsid w:val="00B3001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0011"/>
    <w:rPr>
      <w:b/>
      <w:bCs/>
      <w:smallCaps/>
      <w:color w:val="44546A" w:themeColor="text2"/>
      <w:u w:val="single"/>
    </w:rPr>
  </w:style>
  <w:style w:type="character" w:styleId="BookTitle">
    <w:name w:val="Book Title"/>
    <w:basedOn w:val="DefaultParagraphFont"/>
    <w:uiPriority w:val="33"/>
    <w:qFormat/>
    <w:rsid w:val="00B30011"/>
    <w:rPr>
      <w:b/>
      <w:bCs/>
      <w:smallCaps/>
      <w:spacing w:val="10"/>
    </w:rPr>
  </w:style>
  <w:style w:type="paragraph" w:styleId="TOC1">
    <w:name w:val="toc 1"/>
    <w:basedOn w:val="Normal"/>
    <w:next w:val="Normal"/>
    <w:autoRedefine/>
    <w:uiPriority w:val="39"/>
    <w:unhideWhenUsed/>
    <w:rsid w:val="006E5925"/>
    <w:pPr>
      <w:spacing w:after="100"/>
    </w:pPr>
  </w:style>
  <w:style w:type="paragraph" w:styleId="TOC2">
    <w:name w:val="toc 2"/>
    <w:basedOn w:val="Normal"/>
    <w:next w:val="Normal"/>
    <w:autoRedefine/>
    <w:uiPriority w:val="39"/>
    <w:unhideWhenUsed/>
    <w:rsid w:val="006E5925"/>
    <w:pPr>
      <w:spacing w:after="100"/>
      <w:ind w:left="220"/>
    </w:pPr>
  </w:style>
  <w:style w:type="paragraph" w:styleId="TOC3">
    <w:name w:val="toc 3"/>
    <w:basedOn w:val="Normal"/>
    <w:next w:val="Normal"/>
    <w:autoRedefine/>
    <w:uiPriority w:val="39"/>
    <w:unhideWhenUsed/>
    <w:rsid w:val="006E5925"/>
    <w:pPr>
      <w:spacing w:after="100"/>
      <w:ind w:left="440"/>
    </w:pPr>
  </w:style>
  <w:style w:type="character" w:styleId="Hyperlink">
    <w:name w:val="Hyperlink"/>
    <w:basedOn w:val="DefaultParagraphFont"/>
    <w:uiPriority w:val="99"/>
    <w:unhideWhenUsed/>
    <w:rsid w:val="006E5925"/>
    <w:rPr>
      <w:color w:val="0563C1" w:themeColor="hyperlink"/>
      <w:u w:val="single"/>
    </w:rPr>
  </w:style>
  <w:style w:type="paragraph" w:styleId="Header">
    <w:name w:val="header"/>
    <w:basedOn w:val="Normal"/>
    <w:link w:val="HeaderChar"/>
    <w:uiPriority w:val="99"/>
    <w:unhideWhenUsed/>
    <w:rsid w:val="002E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36"/>
  </w:style>
  <w:style w:type="paragraph" w:styleId="Footer">
    <w:name w:val="footer"/>
    <w:basedOn w:val="Normal"/>
    <w:link w:val="FooterChar"/>
    <w:uiPriority w:val="99"/>
    <w:unhideWhenUsed/>
    <w:rsid w:val="002E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A36"/>
  </w:style>
  <w:style w:type="paragraph" w:styleId="BalloonText">
    <w:name w:val="Balloon Text"/>
    <w:basedOn w:val="Normal"/>
    <w:link w:val="BalloonTextChar"/>
    <w:uiPriority w:val="99"/>
    <w:semiHidden/>
    <w:unhideWhenUsed/>
    <w:rsid w:val="0020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61"/>
    <w:rPr>
      <w:rFonts w:ascii="Segoe UI" w:hAnsi="Segoe UI" w:cs="Segoe UI"/>
      <w:sz w:val="18"/>
      <w:szCs w:val="18"/>
    </w:rPr>
  </w:style>
  <w:style w:type="paragraph" w:styleId="ListParagraph">
    <w:name w:val="List Paragraph"/>
    <w:basedOn w:val="Normal"/>
    <w:uiPriority w:val="34"/>
    <w:qFormat/>
    <w:rsid w:val="00E66A5B"/>
    <w:pPr>
      <w:ind w:left="720"/>
      <w:contextualSpacing/>
    </w:pPr>
  </w:style>
  <w:style w:type="character" w:styleId="CommentReference">
    <w:name w:val="annotation reference"/>
    <w:basedOn w:val="DefaultParagraphFont"/>
    <w:uiPriority w:val="99"/>
    <w:semiHidden/>
    <w:unhideWhenUsed/>
    <w:rsid w:val="0091462E"/>
    <w:rPr>
      <w:sz w:val="16"/>
      <w:szCs w:val="16"/>
    </w:rPr>
  </w:style>
  <w:style w:type="paragraph" w:styleId="CommentText">
    <w:name w:val="annotation text"/>
    <w:basedOn w:val="Normal"/>
    <w:link w:val="CommentTextChar"/>
    <w:uiPriority w:val="99"/>
    <w:semiHidden/>
    <w:unhideWhenUsed/>
    <w:rsid w:val="0091462E"/>
    <w:pPr>
      <w:spacing w:line="240" w:lineRule="auto"/>
    </w:pPr>
    <w:rPr>
      <w:sz w:val="20"/>
      <w:szCs w:val="20"/>
    </w:rPr>
  </w:style>
  <w:style w:type="character" w:customStyle="1" w:styleId="CommentTextChar">
    <w:name w:val="Comment Text Char"/>
    <w:basedOn w:val="DefaultParagraphFont"/>
    <w:link w:val="CommentText"/>
    <w:uiPriority w:val="99"/>
    <w:semiHidden/>
    <w:rsid w:val="0091462E"/>
    <w:rPr>
      <w:sz w:val="20"/>
      <w:szCs w:val="20"/>
    </w:rPr>
  </w:style>
  <w:style w:type="paragraph" w:styleId="CommentSubject">
    <w:name w:val="annotation subject"/>
    <w:basedOn w:val="CommentText"/>
    <w:next w:val="CommentText"/>
    <w:link w:val="CommentSubjectChar"/>
    <w:uiPriority w:val="99"/>
    <w:semiHidden/>
    <w:unhideWhenUsed/>
    <w:rsid w:val="0091462E"/>
    <w:rPr>
      <w:b/>
      <w:bCs/>
    </w:rPr>
  </w:style>
  <w:style w:type="character" w:customStyle="1" w:styleId="CommentSubjectChar">
    <w:name w:val="Comment Subject Char"/>
    <w:basedOn w:val="CommentTextChar"/>
    <w:link w:val="CommentSubject"/>
    <w:uiPriority w:val="99"/>
    <w:semiHidden/>
    <w:rsid w:val="00914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778CE00890380B4FBEA1B2D13FF059C4" ma:contentTypeVersion="18" ma:contentTypeDescription="Fill out this form." ma:contentTypeScope="" ma:versionID="bc0f1d4d5dd2ac90203c1eeeaf612df3">
  <xsd:schema xmlns:xsd="http://www.w3.org/2001/XMLSchema" xmlns:xs="http://www.w3.org/2001/XMLSchema" xmlns:p="http://schemas.microsoft.com/office/2006/metadata/properties" xmlns:ns1="http://schemas.microsoft.com/sharepoint/v3" xmlns:ns2="7e321fc4-19ae-4bf6-a368-fbf5df7dff1b" targetNamespace="http://schemas.microsoft.com/office/2006/metadata/properties" ma:root="true" ma:fieldsID="4c94b270a5bfd0575719b31c8ea78157" ns1:_="" ns2:_="">
    <xsd:import namespace="http://schemas.microsoft.com/sharepoint/v3"/>
    <xsd:import namespace="7e321fc4-19ae-4bf6-a368-fbf5df7dff1b"/>
    <xsd:element name="properties">
      <xsd:complexType>
        <xsd:sequence>
          <xsd:element name="documentManagement">
            <xsd:complexType>
              <xsd:all>
                <xsd:element ref="ns2:Number" minOccurs="0"/>
                <xsd:element ref="ns2:Main_x0020_Topic" minOccurs="0"/>
                <xsd:element ref="ns2:Type_x0020_of_x0020_Material" minOccurs="0"/>
                <xsd:element ref="ns2:Status" minOccurs="0"/>
                <xsd:element ref="ns2:Tax_x0020_Type" minOccurs="0"/>
                <xsd:element ref="ns2:Status_x0020_Date" minOccurs="0"/>
                <xsd:element ref="ns2:Expiration_x0020_Date0" minOccurs="0"/>
                <xsd:element ref="ns2:Comments_x002f_Notes" minOccurs="0"/>
                <xsd:element ref="ns2:Document_x0020_Owner" minOccurs="0"/>
                <xsd:element ref="ns1:TemplateUrl" minOccurs="0"/>
                <xsd:element ref="ns1:xd_ProgID" minOccurs="0"/>
                <xsd:element ref="ns1:ShowRepairView" minOccurs="0"/>
                <xsd:element ref="ns1:ShowCombineView" minOccurs="0"/>
                <xsd:element ref="ns2:Publication" minOccurs="0"/>
                <xsd:element ref="ns2:New_x0020_Tax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2" nillable="true" ma:displayName="Template Link" ma:hidden="true" ma:internalName="TemplateUrl">
      <xsd:simpleType>
        <xsd:restriction base="dms:Text"/>
      </xsd:simpleType>
    </xsd:element>
    <xsd:element name="xd_ProgID" ma:index="13" nillable="true" ma:displayName="HTML File Link" ma:hidden="true" ma:internalName="xd_ProgID">
      <xsd:simpleType>
        <xsd:restriction base="dms:Text"/>
      </xsd:simpleType>
    </xsd:element>
    <xsd:element name="ShowRepairView" ma:index="14" nillable="true" ma:displayName="Show Repair View" ma:hidden="true" ma:internalName="ShowRepairView">
      <xsd:simpleType>
        <xsd:restriction base="dms:Text"/>
      </xsd:simpleType>
    </xsd:element>
    <xsd:element name="ShowCombineView" ma:index="15"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21fc4-19ae-4bf6-a368-fbf5df7dff1b" elementFormDefault="qualified">
    <xsd:import namespace="http://schemas.microsoft.com/office/2006/documentManagement/types"/>
    <xsd:import namespace="http://schemas.microsoft.com/office/infopath/2007/PartnerControls"/>
    <xsd:element name="Number" ma:index="1" nillable="true" ma:displayName="Number" ma:internalName="Number">
      <xsd:simpleType>
        <xsd:restriction base="dms:Text">
          <xsd:maxLength value="255"/>
        </xsd:restriction>
      </xsd:simpleType>
    </xsd:element>
    <xsd:element name="Main_x0020_Topic" ma:index="2" nillable="true" ma:displayName="Main Topic" ma:description="Document Title or Specific Topic Covered" ma:internalName="Main_x0020_Topic">
      <xsd:simpleType>
        <xsd:restriction base="dms:Text">
          <xsd:maxLength value="255"/>
        </xsd:restriction>
      </xsd:simpleType>
    </xsd:element>
    <xsd:element name="Type_x0020_of_x0020_Material" ma:index="3" nillable="true" ma:displayName="Document Type" ma:format="Dropdown" ma:internalName="Type_x0020_of_x0020_Material">
      <xsd:simpleType>
        <xsd:restriction base="dms:Choice">
          <xsd:enumeration value="TAM"/>
          <xsd:enumeration value="GIL"/>
          <xsd:enumeration value="RP"/>
          <xsd:enumeration value="PLR"/>
          <xsd:enumeration value="Policy"/>
          <xsd:enumeration value="Circular"/>
          <xsd:enumeration value="DOR Memo"/>
          <xsd:enumeration value="OLSR Memo"/>
          <xsd:enumeration value="Agreement"/>
          <xsd:enumeration value="Regulation"/>
          <xsd:enumeration value="Releases"/>
          <xsd:enumeration value="Ruling"/>
          <xsd:enumeration value="Procedure"/>
          <xsd:enumeration value="Publication"/>
          <xsd:enumeration value="Presentation"/>
          <xsd:enumeration value="Training Manual"/>
          <xsd:enumeration value="User Manual"/>
          <xsd:enumeration value="Other"/>
        </xsd:restriction>
      </xsd:simpleType>
    </xsd:element>
    <xsd:element name="Status" ma:index="4" nillable="true" ma:displayName="Status" ma:default="Draft" ma:format="Dropdown" ma:internalName="Status">
      <xsd:simpleType>
        <xsd:restriction base="dms:Choice">
          <xsd:enumeration value="Draft"/>
          <xsd:enumeration value="Current"/>
          <xsd:enumeration value="Superseded"/>
        </xsd:restriction>
      </xsd:simpleType>
    </xsd:element>
    <xsd:element name="Tax_x0020_Type" ma:index="5" nillable="true" ma:displayName="Tax Type" ma:internalName="Tax_x0020_Type">
      <xsd:complexType>
        <xsd:complexContent>
          <xsd:extension base="dms:MultiChoice">
            <xsd:sequence>
              <xsd:element name="Value" maxOccurs="unbounded" minOccurs="0" nillable="true">
                <xsd:simpleType>
                  <xsd:restriction base="dms:Choice">
                    <xsd:enumeration value="1 - Individual Income Tax"/>
                    <xsd:enumeration value="2 - Employers Withholding Tax"/>
                    <xsd:enumeration value="3 - Fiduciary Tax"/>
                    <xsd:enumeration value="4 - Non-Resident Withholding"/>
                    <xsd:enumeration value="5 - Corporation Income Tax"/>
                    <xsd:enumeration value="6 - Corporation License Tax"/>
                    <xsd:enumeration value="7 - Business Development Tax"/>
                    <xsd:enumeration value="8 - Limited Liability Entity Tax"/>
                    <xsd:enumeration value="9 - Revenue Surety Tax"/>
                    <xsd:enumeration value="10 - Sales and Use Tax"/>
                    <xsd:enumeration value="11 - Coal Severance Tax"/>
                    <xsd:enumeration value="12 - Cigarette Enforcement and Administration"/>
                    <xsd:enumeration value="13 - Lien Fee"/>
                    <xsd:enumeration value="14 - Legal Process/County Clerk"/>
                    <xsd:enumeration value="15 - Amusement Machine License Tax"/>
                    <xsd:enumeration value="16 - Cigarette Tax"/>
                    <xsd:enumeration value="17 - Cigarette License Tax"/>
                    <xsd:enumeration value="18 - Malt Beverage Consumer Tax"/>
                    <xsd:enumeration value="19 - Distilled Spirits Case Sales Tax"/>
                    <xsd:enumeration value="20 - Distilled Spirits Consumer Tax"/>
                    <xsd:enumeration value="21 - Wine Consumer"/>
                    <xsd:enumeration value="22 - Distilled Spirits Wholesale Tax"/>
                    <xsd:enumeration value="23 - Beer Wholesale Tax"/>
                    <xsd:enumeration value="24 - Wine Wholesale Tax"/>
                    <xsd:enumeration value="25 - General Business License Fee"/>
                    <xsd:enumeration value="26 - PSC Certification Fee"/>
                    <xsd:enumeration value="27 - Rural Cooperative Tax"/>
                    <xsd:enumeration value="28 - Racing Pari-Mutuel Tax"/>
                    <xsd:enumeration value="29 - Racing License Tax"/>
                    <xsd:enumeration value="30 - Racing Admission Tax"/>
                    <xsd:enumeration value="31 - Radioactive Waste Tax"/>
                    <xsd:enumeration value="32 - Insurance Tax"/>
                    <xsd:enumeration value="33 - PSC Commission Assessment"/>
                    <xsd:enumeration value="34 - Omitted Intangible Tax"/>
                    <xsd:enumeration value="35 - Public Service Company Tax"/>
                    <xsd:enumeration value="36 - Irregular Route Truck Tax"/>
                    <xsd:enumeration value="37 - Railroad Carline Company Tax"/>
                    <xsd:enumeration value="38 - Nonresident Watercraft Tax"/>
                    <xsd:enumeration value="39 - Building and Loan Association Tax"/>
                    <xsd:enumeration value="40 - Marginal Accounts Tax"/>
                    <xsd:enumeration value="41 - Distilled Spirits – Ad Valorem"/>
                    <xsd:enumeration value="42 - Abandoned Property"/>
                    <xsd:enumeration value="43 - TVA – In Lieu of Tax"/>
                    <xsd:enumeration value="44 - FHA – In Lieu of Tax"/>
                    <xsd:enumeration value="45 - Firefighter/Law Enforcement Fund"/>
                    <xsd:enumeration value="46 - Inheritance and Estate Tax"/>
                    <xsd:enumeration value="47 - Volunteer Fire Department Aid Fund"/>
                    <xsd:enumeration value="48 - Bank Deposits Tax"/>
                    <xsd:enumeration value="49 - General Real Property Tax"/>
                    <xsd:enumeration value="50 - General Tangible Property Tax"/>
                    <xsd:enumeration value="51 - General Intangible Property Tax"/>
                    <xsd:enumeration value="52 - Delinquent Property Tax"/>
                    <xsd:enumeration value="53 - Administrative and Court Costs"/>
                    <xsd:enumeration value="54 - Gasoline Tax"/>
                    <xsd:enumeration value="55 - Special Fuels Tax"/>
                    <xsd:enumeration value="56 - Liquefied Petroleum Tax"/>
                    <xsd:enumeration value="57 - Oil Production Tax"/>
                    <xsd:enumeration value="58 - Revenue Undetermined Receipts"/>
                    <xsd:enumeration value="59 - Motor Vehicle Usage Tax"/>
                    <xsd:enumeration value="60 - Motor Vehicle Rental Usage Tax"/>
                    <xsd:enumeration value="61 - Minerals Severance Tax"/>
                    <xsd:enumeration value="62 - Natural Gas Severance Tax"/>
                    <xsd:enumeration value="63 - Hazardous Waste Assessment"/>
                    <xsd:enumeration value="64 - Motor Vehicles Tax – Normal Use"/>
                    <xsd:enumeration value="65 - Distilled Spirits Floor Stocks Tax"/>
                    <xsd:enumeration value="66 - Beer Floor Stocks Tax"/>
                    <xsd:enumeration value="67 - Wine Floor Stocks Tax"/>
                    <xsd:enumeration value="68 - Spouse Abuse Shelter Fund"/>
                    <xsd:enumeration value="69 - Judgment Penalty Fee"/>
                    <xsd:enumeration value="70 - PVA – Deputy Cost (Local)"/>
                    <xsd:enumeration value="71 - PVA – Settlement"/>
                    <xsd:enumeration value="72 - PVA – Suspense"/>
                    <xsd:enumeration value="73 - Alcohol Producer License Tax"/>
                    <xsd:enumeration value="74 - Special Fuels Floor Stock Tax"/>
                    <xsd:enumeration value="75 - Offers in Settlement Escrow"/>
                    <xsd:enumeration value="76 - Omitted Tangible Property Tax"/>
                    <xsd:enumeration value="77 - Petroleum Storage Environmental Fee"/>
                    <xsd:enumeration value="78 - Waste Tire Trust Fund"/>
                    <xsd:enumeration value="79 - Apportioned Vehicle Property Tax"/>
                    <xsd:enumeration value="80 - Unmined Coal Property Tax"/>
                    <xsd:enumeration value="81 - Breeder’s Award Fund"/>
                    <xsd:enumeration value="82 - Health Care Provider Tax"/>
                    <xsd:enumeration value="83 - Marijuana and Controlled Substance Tax"/>
                    <xsd:enumeration value="84 - Unhonored Check Penalty"/>
                    <xsd:enumeration value="85 - CARS 202 Account"/>
                    <xsd:enumeration value="86 - Heritage Land Conservation Fund"/>
                    <xsd:enumeration value="87 - Criminal Investigation Escrow"/>
                    <xsd:enumeration value="88 - Bank Franchise Tax"/>
                    <xsd:enumeration value="89 - Concealed Weapons Tax"/>
                    <xsd:enumeration value="90 - Lottery Tax"/>
                    <xsd:enumeration value="91 - Collection Agency – Direct Pay"/>
                    <xsd:enumeration value="92 - Motor Fuels Transporters Tax"/>
                    <xsd:enumeration value="93 - Child Support"/>
                    <xsd:enumeration value="94 - Environmental Remediation"/>
                    <xsd:enumeration value="95 - Utilities Gross Receipts License Tax"/>
                    <xsd:enumeration value="96 -  Future use"/>
                    <xsd:enumeration value="97 -  Future use"/>
                    <xsd:enumeration value="98 -  Future use"/>
                    <xsd:enumeration value="99 -  Future use"/>
                    <xsd:enumeration value="100 - Transient Room Tax"/>
                    <xsd:enumeration value="101 - Other Tobacco Products and Snuff"/>
                    <xsd:enumeration value="102 - Telecommunications Tax"/>
                    <xsd:enumeration value="103 - Sales Tax Equine Breeders"/>
                    <xsd:enumeration value="104 -  Telecommunications Property Tax"/>
                    <xsd:enumeration value="105 - Commercial Watercraft Tax"/>
                    <xsd:enumeration value="106 - Cigarette Papers Tax"/>
                    <xsd:enumeration value="107 - Affordable Housing Fee"/>
                    <xsd:enumeration value="108  - Advanced Deposit Wagering Tax"/>
                    <xsd:enumeration value="109 - Commercial Mobile Radio  Service"/>
                    <xsd:enumeration value="110 - Municipal Solids"/>
                    <xsd:enumeration value="998 – All Taxes"/>
                    <xsd:enumeration value="999 - None"/>
                  </xsd:restriction>
                </xsd:simpleType>
              </xsd:element>
            </xsd:sequence>
          </xsd:extension>
        </xsd:complexContent>
      </xsd:complexType>
    </xsd:element>
    <xsd:element name="Status_x0020_Date" ma:index="6" nillable="true" ma:displayName="Issuance Date" ma:description="The effective date of the document" ma:format="DateOnly" ma:internalName="Status_x0020_Date">
      <xsd:simpleType>
        <xsd:restriction base="dms:DateTime"/>
      </xsd:simpleType>
    </xsd:element>
    <xsd:element name="Expiration_x0020_Date0" ma:index="7" nillable="true" ma:displayName="Expiration Date" ma:description="The date the document was superseded or will expire" ma:format="DateOnly" ma:internalName="Expiration_x0020_Date0">
      <xsd:simpleType>
        <xsd:restriction base="dms:DateTime"/>
      </xsd:simpleType>
    </xsd:element>
    <xsd:element name="Comments_x002f_Notes" ma:index="8" nillable="true" ma:displayName="Keywords" ma:description="List words to describe the document, to assist with searching, separated by commas." ma:internalName="Comments_x002f_Notes">
      <xsd:simpleType>
        <xsd:restriction base="dms:Text">
          <xsd:maxLength value="255"/>
        </xsd:restriction>
      </xsd:simpleType>
    </xsd:element>
    <xsd:element name="Document_x0020_Owner" ma:index="9" nillable="true" ma:displayName="Document Owner" ma:description="Person primarily responsible for the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 ma:index="22" nillable="true" ma:displayName="Publication" ma:default="Internal" ma:format="Dropdown" ma:internalName="Publication">
      <xsd:simpleType>
        <xsd:restriction base="dms:Choice">
          <xsd:enumeration value="Internal"/>
          <xsd:enumeration value="Public"/>
        </xsd:restriction>
      </xsd:simpleType>
    </xsd:element>
    <xsd:element name="New_x0020_Tax_x0020_Type" ma:index="23" nillable="true" ma:displayName="Tax Type" ma:internalName="New_x0020_Tax_x0020_Type">
      <xsd:complexType>
        <xsd:complexContent>
          <xsd:extension base="dms:MultiChoice">
            <xsd:sequence>
              <xsd:element name="Value" maxOccurs="unbounded" minOccurs="0" nillable="true">
                <xsd:simpleType>
                  <xsd:restriction base="dms:Choice">
                    <xsd:enumeration value="All"/>
                    <xsd:enumeration value="None"/>
                    <xsd:enumeration value="Administrative"/>
                    <xsd:enumeration value="Alcohol"/>
                    <xsd:enumeration value="Bank Franchise Tax"/>
                    <xsd:enumeration value="Cigarette"/>
                    <xsd:enumeration value="Collections"/>
                    <xsd:enumeration value="Corporation Income"/>
                    <xsd:enumeration value="Corporation License"/>
                    <xsd:enumeration value="Employers Withholding"/>
                    <xsd:enumeration value="Fiduciary"/>
                    <xsd:enumeration value="Funds"/>
                    <xsd:enumeration value="Gasoline and Special Fuels"/>
                    <xsd:enumeration value="General Property"/>
                    <xsd:enumeration value="General Real Property"/>
                    <xsd:enumeration value="Individual Income"/>
                    <xsd:enumeration value="Inheritance and Estate"/>
                    <xsd:enumeration value="Insurance Premiums/Surcharge"/>
                    <xsd:enumeration value="Intangible Property"/>
                    <xsd:enumeration value="Limited Liability Entity"/>
                    <xsd:enumeration value="Miscellaneous"/>
                    <xsd:enumeration value="Motor Vehicle"/>
                    <xsd:enumeration value="Non-resident Withholding"/>
                    <xsd:enumeration value="Pari-Mutuel Betting"/>
                    <xsd:enumeration value="Public Service Company"/>
                    <xsd:enumeration value="Sales and Use"/>
                    <xsd:enumeration value="Tangible Property"/>
                    <xsd:enumeration value="Telecommunic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xpiration_x0020_Date0 xmlns="7e321fc4-19ae-4bf6-a368-fbf5df7dff1b" xsi:nil="true"/>
    <Document_x0020_Owner xmlns="7e321fc4-19ae-4bf6-a368-fbf5df7dff1b">
      <UserInfo>
        <DisplayName/>
        <AccountId xsi:nil="true"/>
        <AccountType/>
      </UserInfo>
    </Document_x0020_Owner>
    <Status xmlns="7e321fc4-19ae-4bf6-a368-fbf5df7dff1b">Current</Status>
    <Comments_x002f_Notes xmlns="7e321fc4-19ae-4bf6-a368-fbf5df7dff1b" xsi:nil="true"/>
    <ShowRepairView xmlns="http://schemas.microsoft.com/sharepoint/v3" xsi:nil="true"/>
    <Status_x0020_Date xmlns="7e321fc4-19ae-4bf6-a368-fbf5df7dff1b">2019-04-15T04:00:00+00:00</Status_x0020_Date>
    <Main_x0020_Topic xmlns="7e321fc4-19ae-4bf6-a368-fbf5df7dff1b">2019 Kentucky Tax Changes</Main_x0020_Topic>
    <Tax_x0020_Type xmlns="7e321fc4-19ae-4bf6-a368-fbf5df7dff1b">
      <Value>998 – All Taxes</Value>
    </Tax_x0020_Type>
    <ShowCombineView xmlns="http://schemas.microsoft.com/sharepoint/v3" xsi:nil="true"/>
    <Number xmlns="7e321fc4-19ae-4bf6-a368-fbf5df7dff1b" xsi:nil="true"/>
    <xd_ProgID xmlns="http://schemas.microsoft.com/sharepoint/v3" xsi:nil="true"/>
    <Type_x0020_of_x0020_Material xmlns="7e321fc4-19ae-4bf6-a368-fbf5df7dff1b">Publication</Type_x0020_of_x0020_Material>
    <Publication xmlns="7e321fc4-19ae-4bf6-a368-fbf5df7dff1b">Public</Publication>
    <New_x0020_Tax_x0020_Type xmlns="7e321fc4-19ae-4bf6-a368-fbf5df7dff1b"/>
  </documentManagement>
</p:properties>
</file>

<file path=customXml/itemProps1.xml><?xml version="1.0" encoding="utf-8"?>
<ds:datastoreItem xmlns:ds="http://schemas.openxmlformats.org/officeDocument/2006/customXml" ds:itemID="{84C950B4-CFE3-4533-A4F7-EF209E4D66B3}"/>
</file>

<file path=customXml/itemProps2.xml><?xml version="1.0" encoding="utf-8"?>
<ds:datastoreItem xmlns:ds="http://schemas.openxmlformats.org/officeDocument/2006/customXml" ds:itemID="{C7A33F0A-1937-4CBC-B757-036A699A0C60}"/>
</file>

<file path=customXml/itemProps3.xml><?xml version="1.0" encoding="utf-8"?>
<ds:datastoreItem xmlns:ds="http://schemas.openxmlformats.org/officeDocument/2006/customXml" ds:itemID="{89B79E99-7EE3-4FA7-A3B8-8162133D6533}"/>
</file>

<file path=docProps/app.xml><?xml version="1.0" encoding="utf-8"?>
<Properties xmlns="http://schemas.openxmlformats.org/officeDocument/2006/extended-properties" xmlns:vt="http://schemas.openxmlformats.org/officeDocument/2006/docPropsVTypes">
  <Template>Normal</Template>
  <TotalTime>277</TotalTime>
  <Pages>12</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Renner, Todd (DOR)</dc:creator>
  <cp:keywords/>
  <dc:description/>
  <cp:lastModifiedBy>Renner, Todd (DOR)</cp:lastModifiedBy>
  <cp:revision>20</cp:revision>
  <cp:lastPrinted>2019-04-15T14:14:00Z</cp:lastPrinted>
  <dcterms:created xsi:type="dcterms:W3CDTF">2019-04-01T19:35:00Z</dcterms:created>
  <dcterms:modified xsi:type="dcterms:W3CDTF">2019-04-15T14:14:00Z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0x01010100778CE00890380B4FBEA1B2D13FF059C4</vt:lpwstr>
  </property>
  <property fmtid="{D5CDD505-2E9C-101B-9397-08002B2CF9AE}" pid="3" name="Order">
    <vt:r8>50600</vt:r8>
  </property>
  <property fmtid="{D5CDD505-2E9C-101B-9397-08002B2CF9AE}" pid="4" name="xd_Signature">
    <vt:bool>false</vt:bool>
  </property>
  <property fmtid="{D5CDD505-2E9C-101B-9397-08002B2CF9AE}" pid="5" name="_SourceUrl">
    <vt:lpwstr/>
  </property>
  <property fmtid="{D5CDD505-2E9C-101B-9397-08002B2CF9AE}" pid="6" name="_SharedFileIndex">
    <vt:lpwstr/>
  </property>
</Properties>
</file>